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ordsection1"/>
        <w:spacing w:beforeAutospacing="0" w:before="0" w:afterAutospacing="0" w:after="240"/>
        <w:jc w:val="center"/>
        <w:rPr>
          <w:rFonts w:ascii="Arial" w:hAnsi="Arial" w:cs="Arial"/>
          <w:color w:val="000000" w:themeColor="text1"/>
          <w:sz w:val="20"/>
          <w:szCs w:val="20"/>
        </w:rPr>
      </w:pPr>
      <w:bookmarkStart w:id="0" w:name="_Hlk9552160"/>
      <w:r>
        <w:rPr>
          <w:rFonts w:cs="Arial" w:ascii="Arial" w:hAnsi="Arial"/>
          <w:bCs/>
          <w:color w:val="000000" w:themeColor="text1"/>
          <w:sz w:val="20"/>
          <w:szCs w:val="20"/>
        </w:rPr>
        <w:t>POSTANOWIENIA DODATKOWE I ODMIENNE OD OGÓLNYCH WARUNKÓW UBEZPIECZENIA</w:t>
        <w:br/>
        <w:t xml:space="preserve">EDU PLUS </w:t>
      </w:r>
      <w:r>
        <w:rPr>
          <w:rFonts w:cs="Arial" w:ascii="Arial" w:hAnsi="Arial"/>
          <w:color w:val="000000" w:themeColor="text1"/>
          <w:sz w:val="20"/>
          <w:szCs w:val="20"/>
        </w:rPr>
        <w:t xml:space="preserve">zatwierdzonych uchwałą nr </w:t>
      </w:r>
      <w:r>
        <w:rPr>
          <w:rFonts w:cs="Arial" w:ascii="Arial" w:hAnsi="Arial"/>
          <w:sz w:val="20"/>
          <w:szCs w:val="20"/>
        </w:rPr>
        <w:t>01/20/03/2020</w:t>
      </w:r>
      <w:r>
        <w:rPr>
          <w:rFonts w:cs="Arial" w:ascii="Arial" w:hAnsi="Arial"/>
          <w:color w:val="000000" w:themeColor="text1"/>
          <w:sz w:val="20"/>
          <w:szCs w:val="20"/>
        </w:rPr>
        <w:t xml:space="preserve"> Zarządu InterRisk TU  S.A. Vienna Insurance Group z dnia 20.03.2020 r mające zastosowanie do oferty ubezpieczenia przygotowanej przez Przemysław Bielak Finanse.</w:t>
        <w:br/>
        <w:br/>
        <w:t>Działając na podstawie art. 812 § 8 k.c. InterRisk Towarzystwo Ubezpieczeń Spółka Akcyjna Vienna Insurance Group wskazuje różnice pomiędzy proponowaną treścią OWU EDU PLUS zatwierdzonych uchwałą nr 01/20/02/2020 Zarządu InterRisk TU  S.A. Vienna Insurance Group z dnia 20.03.2020 r.</w:t>
      </w:r>
    </w:p>
    <w:p>
      <w:pPr>
        <w:pStyle w:val="Wordsection1"/>
        <w:spacing w:beforeAutospacing="0" w:before="0" w:afterAutospacing="0" w:after="0"/>
        <w:jc w:val="center"/>
        <w:rPr>
          <w:rFonts w:ascii="Arial" w:hAnsi="Arial" w:cs="Arial"/>
          <w:color w:val="000000" w:themeColor="text1"/>
          <w:sz w:val="20"/>
          <w:szCs w:val="20"/>
        </w:rPr>
      </w:pPr>
      <w:r>
        <w:rPr>
          <w:rFonts w:cs="Arial" w:ascii="Arial" w:hAnsi="Arial"/>
          <w:color w:val="000000" w:themeColor="text1"/>
          <w:sz w:val="20"/>
          <w:szCs w:val="20"/>
        </w:rPr>
      </w:r>
    </w:p>
    <w:p>
      <w:pPr>
        <w:pStyle w:val="Wordsection1"/>
        <w:spacing w:beforeAutospacing="0" w:before="0" w:afterAutospacing="0" w:after="0"/>
        <w:jc w:val="center"/>
        <w:rPr>
          <w:rFonts w:ascii="Arial" w:hAnsi="Arial" w:cs="Arial"/>
          <w:color w:val="000000" w:themeColor="text1"/>
          <w:sz w:val="20"/>
          <w:szCs w:val="20"/>
        </w:rPr>
      </w:pPr>
      <w:r>
        <w:rPr>
          <w:rFonts w:cs="Arial" w:ascii="Arial" w:hAnsi="Arial"/>
          <w:color w:val="000000" w:themeColor="text1"/>
          <w:sz w:val="20"/>
          <w:szCs w:val="20"/>
        </w:rPr>
        <w:t xml:space="preserve">§ 1 </w:t>
        <w:br/>
        <w:t>Dla potrzeb niniejszej oferty/umowy ubezpieczenia wprowadza się następujące postanowienia dodatkowe lub odmienne od OWU EDU PLUS:</w:t>
      </w:r>
    </w:p>
    <w:p>
      <w:pPr>
        <w:pStyle w:val="Wordsection1"/>
        <w:spacing w:beforeAutospacing="0" w:before="0" w:afterAutospacing="0" w:after="0"/>
        <w:jc w:val="center"/>
        <w:rPr>
          <w:rFonts w:ascii="Arial" w:hAnsi="Arial" w:cs="Arial"/>
          <w:color w:val="000000" w:themeColor="text1"/>
          <w:sz w:val="20"/>
          <w:szCs w:val="20"/>
        </w:rPr>
      </w:pPr>
      <w:r>
        <w:rPr>
          <w:rFonts w:cs="Arial" w:ascii="Arial" w:hAnsi="Arial"/>
          <w:color w:val="000000" w:themeColor="text1"/>
          <w:sz w:val="20"/>
          <w:szCs w:val="20"/>
        </w:rPr>
      </w:r>
    </w:p>
    <w:p>
      <w:pPr>
        <w:pStyle w:val="Wordsection1"/>
        <w:numPr>
          <w:ilvl w:val="0"/>
          <w:numId w:val="1"/>
        </w:numPr>
        <w:spacing w:lineRule="auto" w:line="276" w:beforeAutospacing="0" w:before="0" w:afterAutospacing="0" w:after="0"/>
        <w:jc w:val="both"/>
        <w:rPr>
          <w:rFonts w:ascii="Arial" w:hAnsi="Arial" w:cs="Arial"/>
          <w:color w:val="000000" w:themeColor="text1"/>
          <w:sz w:val="20"/>
          <w:szCs w:val="20"/>
        </w:rPr>
      </w:pPr>
      <w:bookmarkStart w:id="1" w:name="_Hlk7914929"/>
      <w:r>
        <w:rPr>
          <w:rFonts w:cs="Arial" w:ascii="Arial" w:hAnsi="Arial"/>
          <w:color w:val="000000" w:themeColor="text1"/>
          <w:sz w:val="20"/>
          <w:szCs w:val="20"/>
        </w:rPr>
        <w:t>§ 2 pkt 49) otrzymuje brzmienie</w:t>
      </w:r>
      <w:bookmarkEnd w:id="1"/>
      <w:r>
        <w:rPr>
          <w:rFonts w:cs="Arial" w:ascii="Arial" w:hAnsi="Arial"/>
          <w:color w:val="000000" w:themeColor="text1"/>
          <w:sz w:val="20"/>
          <w:szCs w:val="20"/>
        </w:rPr>
        <w:t xml:space="preserve">: </w:t>
      </w:r>
      <w:bookmarkStart w:id="2" w:name="_Hlk7901479"/>
      <w:bookmarkEnd w:id="2"/>
    </w:p>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 xml:space="preserve">„ </w:t>
      </w:r>
      <w:r>
        <w:rPr>
          <w:rFonts w:cs="Arial" w:ascii="Arial" w:hAnsi="Arial"/>
          <w:color w:val="000000" w:themeColor="text1"/>
          <w:sz w:val="20"/>
          <w:szCs w:val="20"/>
        </w:rPr>
        <w:t>49) Poważna Choroba - wyłącznie poniżej wymienione choroby, które zostały zdiagnozowane po raz pierwszy w trakcie okresu ubezpieczenia: nowotwór złośliwy, niewydolność nerek, stwardnienie rozsiane, cukrzyca typu I, zapalenie opon rdzeniowo-mózgowych, borelioza.”</w:t>
      </w:r>
    </w:p>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r>
    </w:p>
    <w:p>
      <w:pPr>
        <w:pStyle w:val="Wordsection1"/>
        <w:numPr>
          <w:ilvl w:val="0"/>
          <w:numId w:val="1"/>
        </w:numPr>
        <w:spacing w:lineRule="auto" w:line="276" w:beforeAutospacing="0" w:before="0" w:afterAutospacing="0" w:after="0"/>
        <w:jc w:val="both"/>
        <w:rPr>
          <w:rFonts w:ascii="Arial" w:hAnsi="Arial" w:cs="Arial"/>
          <w:color w:val="000000" w:themeColor="text1"/>
          <w:sz w:val="20"/>
          <w:szCs w:val="20"/>
        </w:rPr>
      </w:pPr>
      <w:r>
        <w:rPr>
          <w:rFonts w:cs="Arial" w:ascii="Arial" w:hAnsi="Arial"/>
          <w:color w:val="000000" w:themeColor="text1"/>
          <w:sz w:val="20"/>
          <w:szCs w:val="20"/>
        </w:rPr>
        <w:t xml:space="preserve">§ 2 pkt 78) otrzymuje brzmienie: </w:t>
      </w:r>
    </w:p>
    <w:p>
      <w:pPr>
        <w:pStyle w:val="Wordsection1"/>
        <w:spacing w:lineRule="auto" w:line="276" w:beforeAutospacing="0" w:before="0" w:afterAutospacing="0" w:after="240"/>
        <w:ind w:left="720" w:hanging="0"/>
        <w:jc w:val="both"/>
        <w:rPr>
          <w:rFonts w:ascii="Arial" w:hAnsi="Arial" w:cs="Arial"/>
          <w:color w:val="000000" w:themeColor="text1"/>
          <w:sz w:val="20"/>
          <w:szCs w:val="20"/>
        </w:rPr>
      </w:pPr>
      <w:r>
        <w:rPr>
          <w:rFonts w:cs="Arial" w:ascii="Arial" w:hAnsi="Arial"/>
          <w:color w:val="000000" w:themeColor="text1"/>
          <w:sz w:val="20"/>
          <w:szCs w:val="20"/>
        </w:rPr>
        <w:t>„</w:t>
      </w:r>
      <w:r>
        <w:rPr>
          <w:rFonts w:cs="Arial" w:ascii="Arial" w:hAnsi="Arial"/>
          <w:color w:val="000000" w:themeColor="text1"/>
          <w:sz w:val="20"/>
          <w:szCs w:val="20"/>
        </w:rPr>
        <w:t>78) uciążliwe leczenie – leczenie Ubezpieczonego będące następstwem nieszczęśliwego wypadku, który miał miejsce w trakcie trwania ochrony ubezpieczeniowej, w wyniku którego nie nastąpił uszczerbek na zdrowiu Ubezpieczanego (0% uszczerbku na zdrowiu), bądź trwałego inwalidztwa częściowego, złamania kości, ran ciętych lub szarpanych, urazów narządów ruchu, wstrząśnienia mózgu, ale przebieg leczenia spowodował czasową niezdolność do nauki lub pracy przez okres nie krótszy niż 5 dni. Czasowa niezdolność musi być potwierdzona zaświadczeniem wydanym przez lekarza prowadzącego leczenie.”</w:t>
      </w:r>
    </w:p>
    <w:p>
      <w:pPr>
        <w:pStyle w:val="Wordsection1"/>
        <w:numPr>
          <w:ilvl w:val="0"/>
          <w:numId w:val="1"/>
        </w:numPr>
        <w:spacing w:lineRule="auto" w:line="276" w:beforeAutospacing="0" w:before="0" w:afterAutospacing="0" w:after="0"/>
        <w:jc w:val="both"/>
        <w:rPr>
          <w:rFonts w:ascii="Arial" w:hAnsi="Arial" w:cs="Arial"/>
          <w:color w:val="000000" w:themeColor="text1"/>
          <w:sz w:val="20"/>
          <w:szCs w:val="20"/>
        </w:rPr>
      </w:pPr>
      <w:r>
        <w:rPr>
          <w:rFonts w:cs="Arial" w:ascii="Arial" w:hAnsi="Arial"/>
          <w:color w:val="000000" w:themeColor="text1"/>
          <w:sz w:val="20"/>
          <w:szCs w:val="20"/>
        </w:rPr>
        <w:t>§ 2 dodaje się pkt 97), który otrzymuje brzmienie:</w:t>
      </w:r>
    </w:p>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w:t>
      </w:r>
      <w:r>
        <w:rPr>
          <w:rFonts w:cs="Arial" w:ascii="Arial" w:hAnsi="Arial"/>
          <w:color w:val="000000" w:themeColor="text1"/>
          <w:sz w:val="20"/>
          <w:szCs w:val="20"/>
        </w:rPr>
        <w:t>97) Borelioza – choroba rozpoznana przez lekarza specjalistę i zakwalifikowana zgodnie z Międzynarodową Statystyczną Klasyfikacją Chorób i Problemów Zdrowotnych ICD-10 jako kod A69.2 Z ochrony ubezpieczeniowej wyłączone są przypadki I stadium boreliozy ( tzw. Infekcja wczesna, rozwijająca się do 90 dni po ukąszeniu przez kleszcza w postaci zmian skórnych typu rumienia przewlekłego wędrującego) oraz przypadki boreliozy, w których w jednoznaczny sposób na podstawie badań klinicznych  oraz zaawansowania objawów chorobowych można stwierdzić, iż zakażenie nastąpiło przed rozpoczęciem odpowiedzialności przez Ubezpieczyciela;”</w:t>
      </w:r>
    </w:p>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r>
    </w:p>
    <w:p>
      <w:pPr>
        <w:pStyle w:val="Wordsection1"/>
        <w:numPr>
          <w:ilvl w:val="0"/>
          <w:numId w:val="1"/>
        </w:numPr>
        <w:spacing w:lineRule="auto" w:line="276" w:beforeAutospacing="0" w:before="0" w:afterAutospacing="0" w:after="0"/>
        <w:jc w:val="both"/>
        <w:rPr>
          <w:rFonts w:ascii="Arial" w:hAnsi="Arial" w:cs="Arial"/>
          <w:color w:val="000000" w:themeColor="text1"/>
          <w:sz w:val="20"/>
          <w:szCs w:val="20"/>
        </w:rPr>
      </w:pPr>
      <w:r>
        <w:rPr>
          <w:rFonts w:cs="Arial" w:ascii="Arial" w:hAnsi="Arial"/>
          <w:color w:val="000000" w:themeColor="text1"/>
          <w:sz w:val="20"/>
          <w:szCs w:val="20"/>
        </w:rPr>
        <w:t xml:space="preserve">§ 4 ust. 1 pkt 1 lit. f) otrzymuje brzmienie: </w:t>
      </w:r>
    </w:p>
    <w:p>
      <w:pPr>
        <w:pStyle w:val="Wordsection1"/>
        <w:spacing w:lineRule="auto" w:line="276" w:beforeAutospacing="0" w:before="0" w:afterAutospacing="0" w:after="0"/>
        <w:ind w:left="720" w:hanging="0"/>
        <w:rPr>
          <w:rFonts w:ascii="Arial" w:hAnsi="Arial" w:cs="Arial"/>
          <w:color w:val="000000" w:themeColor="text1"/>
          <w:sz w:val="20"/>
          <w:szCs w:val="20"/>
        </w:rPr>
      </w:pPr>
      <w:r>
        <w:rPr>
          <w:rFonts w:cs="Arial" w:ascii="Arial" w:hAnsi="Arial"/>
          <w:color w:val="000000" w:themeColor="text1"/>
          <w:sz w:val="20"/>
          <w:szCs w:val="20"/>
        </w:rPr>
        <w:t xml:space="preserve">§ 4 ust. 1 pkt 1) f) – zdiagnozowanie u Ubezpieczonego sepsy, Poważnej Choroby lub </w:t>
      </w:r>
      <w:r>
        <w:rPr>
          <w:rFonts w:cs="Arial" w:ascii="Arial" w:hAnsi="Arial"/>
          <w:sz w:val="20"/>
          <w:szCs w:val="20"/>
        </w:rPr>
        <w:t xml:space="preserve">wirusa </w:t>
      </w:r>
      <w:bookmarkStart w:id="3" w:name="_Hlk37879117"/>
      <w:r>
        <w:rPr>
          <w:rFonts w:cs="Arial" w:ascii="Arial" w:hAnsi="Arial"/>
          <w:sz w:val="20"/>
          <w:szCs w:val="20"/>
        </w:rPr>
        <w:t>SARS-CoV-2</w:t>
      </w:r>
      <w:bookmarkEnd w:id="3"/>
      <w:r>
        <w:rPr>
          <w:rFonts w:cs="Arial" w:ascii="Arial" w:hAnsi="Arial"/>
          <w:sz w:val="20"/>
          <w:szCs w:val="20"/>
        </w:rPr>
        <w:t>;</w:t>
      </w:r>
    </w:p>
    <w:p>
      <w:pPr>
        <w:pStyle w:val="Wordsection1"/>
        <w:spacing w:lineRule="auto" w:line="276"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r>
    </w:p>
    <w:p>
      <w:pPr>
        <w:pStyle w:val="Wordsection1"/>
        <w:numPr>
          <w:ilvl w:val="0"/>
          <w:numId w:val="1"/>
        </w:numPr>
        <w:spacing w:lineRule="auto" w:line="276" w:beforeAutospacing="0" w:before="0" w:afterAutospacing="0" w:after="0"/>
        <w:jc w:val="both"/>
        <w:rPr>
          <w:rFonts w:ascii="Arial" w:hAnsi="Arial" w:cs="Arial"/>
          <w:color w:val="000000" w:themeColor="text1"/>
          <w:sz w:val="20"/>
          <w:szCs w:val="20"/>
        </w:rPr>
      </w:pPr>
      <w:bookmarkStart w:id="4" w:name="_Hlk7905130"/>
      <w:r>
        <w:rPr>
          <w:rFonts w:cs="Arial" w:ascii="Arial" w:hAnsi="Arial"/>
          <w:color w:val="000000" w:themeColor="text1"/>
          <w:sz w:val="20"/>
          <w:szCs w:val="20"/>
        </w:rPr>
        <w:t xml:space="preserve">§ 6 pkt 1) </w:t>
      </w:r>
      <w:bookmarkEnd w:id="4"/>
      <w:r>
        <w:rPr>
          <w:rFonts w:cs="Arial" w:ascii="Arial" w:hAnsi="Arial"/>
          <w:color w:val="000000" w:themeColor="text1"/>
          <w:sz w:val="20"/>
          <w:szCs w:val="20"/>
        </w:rPr>
        <w:t>otrzymuje brzmienie:</w:t>
      </w:r>
    </w:p>
    <w:p>
      <w:pPr>
        <w:pStyle w:val="Wordsection1"/>
        <w:spacing w:lineRule="auto" w:line="276"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w:t>
      </w:r>
      <w:r>
        <w:rPr>
          <w:rFonts w:cs="Arial" w:ascii="Arial" w:hAnsi="Arial"/>
          <w:color w:val="000000" w:themeColor="text1"/>
          <w:sz w:val="20"/>
          <w:szCs w:val="20"/>
        </w:rPr>
        <w:t xml:space="preserve">§ 6 </w:t>
      </w:r>
    </w:p>
    <w:p>
      <w:pPr>
        <w:pStyle w:val="Wordsection1"/>
        <w:spacing w:lineRule="auto" w:line="276"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Opcja Podstawowa obejmuje następujące świadczenia:</w:t>
      </w:r>
    </w:p>
    <w:p>
      <w:pPr>
        <w:pStyle w:val="ListParagraph"/>
        <w:numPr>
          <w:ilvl w:val="0"/>
          <w:numId w:val="6"/>
        </w:numPr>
        <w:tabs>
          <w:tab w:val="clear" w:pos="708"/>
          <w:tab w:val="left" w:pos="426" w:leader="none"/>
        </w:tabs>
        <w:spacing w:lineRule="auto" w:line="240" w:before="60" w:after="60"/>
        <w:contextualSpacing/>
        <w:jc w:val="both"/>
        <w:rPr>
          <w:rFonts w:ascii="Arial" w:hAnsi="Arial" w:cs="Arial"/>
          <w:color w:val="000000" w:themeColor="text1"/>
          <w:sz w:val="20"/>
          <w:szCs w:val="20"/>
        </w:rPr>
      </w:pPr>
      <w:r>
        <w:rPr>
          <w:rFonts w:cs="Arial" w:ascii="Arial" w:hAnsi="Arial"/>
          <w:color w:val="000000" w:themeColor="text1"/>
          <w:sz w:val="20"/>
          <w:szCs w:val="20"/>
        </w:rPr>
        <w:t>w przypadku uszczerbku na zdrowiu w wyniku nieszczęśliwego wypadku:</w:t>
      </w:r>
    </w:p>
    <w:p>
      <w:pPr>
        <w:pStyle w:val="Wordsection1"/>
        <w:numPr>
          <w:ilvl w:val="0"/>
          <w:numId w:val="5"/>
        </w:numPr>
        <w:spacing w:lineRule="auto" w:line="276" w:beforeAutospacing="0" w:before="0" w:afterAutospacing="0" w:after="0"/>
        <w:jc w:val="both"/>
        <w:rPr>
          <w:rFonts w:ascii="Arial" w:hAnsi="Arial" w:cs="Arial"/>
          <w:color w:val="000000" w:themeColor="text1"/>
          <w:sz w:val="20"/>
          <w:szCs w:val="20"/>
        </w:rPr>
      </w:pPr>
      <w:r>
        <w:rPr>
          <w:rFonts w:cs="Arial" w:ascii="Arial" w:hAnsi="Arial"/>
          <w:color w:val="000000" w:themeColor="text1"/>
          <w:sz w:val="20"/>
          <w:szCs w:val="20"/>
        </w:rPr>
        <w:t>w przypadku 100% uszczerbku na zdrowiu – świadczenie w wysokości 140% sumy ubezpieczenia określonej w umowie ubezpieczenia”;</w:t>
      </w:r>
    </w:p>
    <w:p>
      <w:pPr>
        <w:pStyle w:val="Wordsection1"/>
        <w:spacing w:lineRule="auto" w:line="276"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b) w przypadku uszczerbku na zdrowiu poniżej 100% - świadczenie w ramach systemu świadczeń progresywnych, tj. w wysokości uzależnionej od wysokości uszczerbku na zdrowiu i wynoszące:</w:t>
      </w:r>
    </w:p>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 xml:space="preserve">-  1% sumy ubezpieczenia określonej w umowie ubezpieczenia za każdy procent uszczerbku na zdrowiu w przedziale od 1% do 14,99% </w:t>
      </w:r>
    </w:p>
    <w:p>
      <w:pPr>
        <w:pStyle w:val="Wordsection1"/>
        <w:spacing w:lineRule="auto" w:line="276"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- 1,3% sumy ubezpieczenia określonej w umowie ubezpieczenia za każdy procent uszczerbku na zdrowiu w przedziale od 15% do 100%;</w:t>
      </w:r>
    </w:p>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c) koszty nabycia wyrobów medycznych wydawanych na zlecenie -  zwrot udokumentowanych kosztów w zależności od wybranego wariantu oferty zgodnie z Tabelą A, pod warunkiem iż:</w:t>
      </w:r>
    </w:p>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 xml:space="preserve">- są niezbędne z medycznego punku widzenia i udokumentowane kopią zlecenia lekarskiego na zaopatrzenie w wyroby medyczne wydawane na zlecenie </w:t>
      </w:r>
    </w:p>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oraz</w:t>
      </w:r>
    </w:p>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 xml:space="preserve">- zostały poniesione na terytorium Rzeczpospolitej Polskiej w okresie nie dłuższym niż dwa lata od daty nieszczęśliwego wypadku. </w:t>
      </w:r>
    </w:p>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r>
    </w:p>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 xml:space="preserve">Tabela A </w:t>
      </w:r>
    </w:p>
    <w:tbl>
      <w:tblPr>
        <w:tblW w:w="9067" w:type="dxa"/>
        <w:jc w:val="left"/>
        <w:tblInd w:w="0" w:type="dxa"/>
        <w:tblBorders>
          <w:top w:val="single" w:sz="4" w:space="0" w:color="000000"/>
          <w:left w:val="single" w:sz="4" w:space="0" w:color="000000"/>
          <w:bottom w:val="single" w:sz="4" w:space="0" w:color="000000"/>
          <w:right w:val="single" w:sz="8" w:space="0" w:color="000000"/>
          <w:insideH w:val="single" w:sz="4" w:space="0" w:color="000000"/>
          <w:insideV w:val="single" w:sz="8" w:space="0" w:color="000000"/>
        </w:tblBorders>
        <w:tblCellMar>
          <w:top w:w="0" w:type="dxa"/>
          <w:left w:w="70" w:type="dxa"/>
          <w:bottom w:w="0" w:type="dxa"/>
          <w:right w:w="70" w:type="dxa"/>
        </w:tblCellMar>
        <w:tblLook w:firstRow="1" w:noVBand="1" w:lastRow="0" w:firstColumn="1" w:lastColumn="0" w:noHBand="0" w:val="04a0"/>
      </w:tblPr>
      <w:tblGrid>
        <w:gridCol w:w="3822"/>
        <w:gridCol w:w="1275"/>
        <w:gridCol w:w="1276"/>
        <w:gridCol w:w="1275"/>
        <w:gridCol w:w="1419"/>
      </w:tblGrid>
      <w:tr>
        <w:trPr>
          <w:trHeight w:val="636" w:hRule="atLeast"/>
        </w:trPr>
        <w:tc>
          <w:tcPr>
            <w:tcW w:w="3822"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Rodzaj Świadczenia</w:t>
            </w:r>
          </w:p>
        </w:tc>
        <w:tc>
          <w:tcPr>
            <w:tcW w:w="1275"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WARIANT</w:t>
              <w:br/>
              <w:t xml:space="preserve">I </w:t>
            </w:r>
          </w:p>
        </w:tc>
        <w:tc>
          <w:tcPr>
            <w:tcW w:w="1276"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WARIANT</w:t>
              <w:br/>
              <w:t xml:space="preserve"> II</w:t>
            </w:r>
          </w:p>
        </w:tc>
        <w:tc>
          <w:tcPr>
            <w:tcW w:w="1275"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WARIANT</w:t>
              <w:br/>
              <w:t xml:space="preserve"> III</w:t>
            </w:r>
          </w:p>
        </w:tc>
        <w:tc>
          <w:tcPr>
            <w:tcW w:w="1419"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 xml:space="preserve">WARIANT </w:t>
              <w:br/>
              <w:t>IV</w:t>
            </w:r>
          </w:p>
        </w:tc>
      </w:tr>
      <w:tr>
        <w:trPr>
          <w:trHeight w:val="432" w:hRule="atLeast"/>
        </w:trPr>
        <w:tc>
          <w:tcPr>
            <w:tcW w:w="3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SUMA UBEZPIECZENIA</w:t>
            </w:r>
          </w:p>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Opcji Podstawowej:</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15 000</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20 000</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25 000</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30 000</w:t>
            </w:r>
          </w:p>
        </w:tc>
      </w:tr>
      <w:tr>
        <w:trPr>
          <w:trHeight w:val="212" w:hRule="atLeast"/>
        </w:trPr>
        <w:tc>
          <w:tcPr>
            <w:tcW w:w="3822" w:type="dxa"/>
            <w:tcBorders>
              <w:top w:val="single" w:sz="4"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r>
          </w:p>
        </w:tc>
        <w:tc>
          <w:tcPr>
            <w:tcW w:w="5245" w:type="dxa"/>
            <w:gridSpan w:val="4"/>
            <w:tcBorders>
              <w:top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Wartość świadczeń wyrażona w polskich złotych</w:t>
            </w:r>
          </w:p>
        </w:tc>
      </w:tr>
      <w:tr>
        <w:trPr>
          <w:trHeight w:val="761" w:hRule="atLeast"/>
        </w:trPr>
        <w:tc>
          <w:tcPr>
            <w:tcW w:w="3822" w:type="dxa"/>
            <w:tcBorders>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Zwrot kosztów nabycia wyrobów medycznych wydawanych na zlecenie (do kwoty):</w:t>
            </w:r>
          </w:p>
        </w:tc>
        <w:tc>
          <w:tcPr>
            <w:tcW w:w="127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4 000</w:t>
            </w:r>
          </w:p>
        </w:tc>
        <w:tc>
          <w:tcPr>
            <w:tcW w:w="127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5 000</w:t>
            </w:r>
          </w:p>
        </w:tc>
        <w:tc>
          <w:tcPr>
            <w:tcW w:w="127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6 000</w:t>
            </w:r>
          </w:p>
        </w:tc>
        <w:tc>
          <w:tcPr>
            <w:tcW w:w="1419"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7 000</w:t>
            </w:r>
          </w:p>
        </w:tc>
      </w:tr>
    </w:tbl>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r>
    </w:p>
    <w:p>
      <w:pPr>
        <w:pStyle w:val="Wordsection1"/>
        <w:spacing w:lineRule="auto" w:line="276"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d) koszty przekwalifikowania zawodowego osób niepełnosprawnych - zwrot udokumentowanych kosztów w zależności od wybranego wariantu zgodnie z Tabelą B, pod warunkiem iż:</w:t>
      </w:r>
    </w:p>
    <w:p>
      <w:pPr>
        <w:pStyle w:val="Wordsection1"/>
        <w:spacing w:lineRule="auto" w:line="276"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 xml:space="preserve">- Ubezpieczonemu na podstawie decyzji Zakładu Ubezpieczeń Społecznych przyznano rentę szkoleniową jako osobie trwale niezdolnej do pracy w dotychczasowym zawodzie lub orzeczenie powiatowego ( lub wojewódzkiego) zespołu ds. orzekania o niepełnosprawności, w którym orzeczono o celowości przekwalifikowania zawodowego osoby niepełnosprawnej </w:t>
      </w:r>
    </w:p>
    <w:p>
      <w:pPr>
        <w:pStyle w:val="Wordsection1"/>
        <w:spacing w:lineRule="auto" w:line="276"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oraz</w:t>
      </w:r>
    </w:p>
    <w:p>
      <w:pPr>
        <w:pStyle w:val="Wordsection1"/>
        <w:spacing w:lineRule="auto" w:line="276"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  zostały poniesione na terytorium Rzeczpospolitej Polskiej w okresie nie dłuższym niż dwa lata od daty nieszczęśliwego upadku</w:t>
      </w:r>
    </w:p>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r>
    </w:p>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Tabela B</w:t>
      </w:r>
    </w:p>
    <w:tbl>
      <w:tblPr>
        <w:tblW w:w="9067" w:type="dxa"/>
        <w:jc w:val="left"/>
        <w:tblInd w:w="0" w:type="dxa"/>
        <w:tblBorders>
          <w:top w:val="single" w:sz="4" w:space="0" w:color="000000"/>
          <w:left w:val="single" w:sz="4" w:space="0" w:color="000000"/>
          <w:bottom w:val="single" w:sz="4" w:space="0" w:color="000000"/>
          <w:right w:val="single" w:sz="8" w:space="0" w:color="000000"/>
          <w:insideH w:val="single" w:sz="4" w:space="0" w:color="000000"/>
          <w:insideV w:val="single" w:sz="8" w:space="0" w:color="000000"/>
        </w:tblBorders>
        <w:tblCellMar>
          <w:top w:w="0" w:type="dxa"/>
          <w:left w:w="70" w:type="dxa"/>
          <w:bottom w:w="0" w:type="dxa"/>
          <w:right w:w="70" w:type="dxa"/>
        </w:tblCellMar>
        <w:tblLook w:firstRow="1" w:noVBand="1" w:lastRow="0" w:firstColumn="1" w:lastColumn="0" w:noHBand="0" w:val="04a0"/>
      </w:tblPr>
      <w:tblGrid>
        <w:gridCol w:w="3538"/>
        <w:gridCol w:w="1844"/>
        <w:gridCol w:w="1275"/>
        <w:gridCol w:w="1135"/>
        <w:gridCol w:w="1275"/>
      </w:tblGrid>
      <w:tr>
        <w:trPr>
          <w:trHeight w:val="636" w:hRule="atLeast"/>
        </w:trPr>
        <w:tc>
          <w:tcPr>
            <w:tcW w:w="3538"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Rodzaj Świadczenia</w:t>
            </w:r>
          </w:p>
        </w:tc>
        <w:tc>
          <w:tcPr>
            <w:tcW w:w="1844"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WARIANT</w:t>
              <w:br/>
              <w:t xml:space="preserve">I </w:t>
            </w:r>
          </w:p>
        </w:tc>
        <w:tc>
          <w:tcPr>
            <w:tcW w:w="1275"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WARIANT</w:t>
              <w:br/>
              <w:t xml:space="preserve"> II</w:t>
            </w:r>
          </w:p>
        </w:tc>
        <w:tc>
          <w:tcPr>
            <w:tcW w:w="1135"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WARIANT</w:t>
              <w:br/>
              <w:t xml:space="preserve"> III</w:t>
            </w:r>
          </w:p>
        </w:tc>
        <w:tc>
          <w:tcPr>
            <w:tcW w:w="127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 xml:space="preserve">WARIANT </w:t>
              <w:br/>
              <w:t>IV</w:t>
            </w:r>
          </w:p>
        </w:tc>
      </w:tr>
      <w:tr>
        <w:trPr>
          <w:trHeight w:val="432" w:hRule="atLeast"/>
        </w:trPr>
        <w:tc>
          <w:tcPr>
            <w:tcW w:w="3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SUMA UBEZPIECZENIA</w:t>
            </w:r>
          </w:p>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Opcji Podstawowej:</w:t>
            </w:r>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15 000</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20 000</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25 000</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30 000</w:t>
            </w:r>
          </w:p>
        </w:tc>
      </w:tr>
      <w:tr>
        <w:trPr>
          <w:trHeight w:val="272" w:hRule="atLeast"/>
        </w:trPr>
        <w:tc>
          <w:tcPr>
            <w:tcW w:w="3538" w:type="dxa"/>
            <w:tcBorders>
              <w:top w:val="single" w:sz="4"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r>
          </w:p>
        </w:tc>
        <w:tc>
          <w:tcPr>
            <w:tcW w:w="5529" w:type="dxa"/>
            <w:gridSpan w:val="4"/>
            <w:tcBorders>
              <w:top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Wartość świadczeń wyrażona w polskich złotych</w:t>
            </w:r>
          </w:p>
        </w:tc>
      </w:tr>
      <w:tr>
        <w:trPr>
          <w:trHeight w:val="538" w:hRule="atLeast"/>
        </w:trPr>
        <w:tc>
          <w:tcPr>
            <w:tcW w:w="3538" w:type="dxa"/>
            <w:tcBorders>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Zwrot kosztów przekwalifikowania</w:t>
              <w:br/>
              <w:t>zawodowego osób niepełnosprawnych (do kwoty):</w:t>
            </w:r>
          </w:p>
        </w:tc>
        <w:tc>
          <w:tcPr>
            <w:tcW w:w="184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4 000</w:t>
            </w:r>
          </w:p>
        </w:tc>
        <w:tc>
          <w:tcPr>
            <w:tcW w:w="127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5 000</w:t>
            </w:r>
          </w:p>
        </w:tc>
        <w:tc>
          <w:tcPr>
            <w:tcW w:w="113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6 000</w:t>
            </w:r>
          </w:p>
        </w:tc>
        <w:tc>
          <w:tcPr>
            <w:tcW w:w="127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7 000</w:t>
            </w:r>
          </w:p>
        </w:tc>
      </w:tr>
    </w:tbl>
    <w:p>
      <w:pPr>
        <w:pStyle w:val="Wordsection1"/>
        <w:spacing w:beforeAutospacing="0" w:before="0" w:afterAutospacing="0" w:after="0"/>
        <w:jc w:val="right"/>
        <w:rPr>
          <w:rFonts w:ascii="Arial" w:hAnsi="Arial" w:cs="Arial"/>
          <w:color w:val="000000" w:themeColor="text1"/>
          <w:sz w:val="20"/>
          <w:szCs w:val="20"/>
        </w:rPr>
      </w:pPr>
      <w:r>
        <w:rPr>
          <w:rFonts w:cs="Arial" w:ascii="Arial" w:hAnsi="Arial"/>
          <w:color w:val="FFFFFF" w:themeColor="background1"/>
          <w:sz w:val="20"/>
          <w:szCs w:val="20"/>
        </w:rPr>
        <w:t>X</w:t>
      </w:r>
      <w:r>
        <w:rPr>
          <w:rFonts w:cs="Arial" w:ascii="Arial" w:hAnsi="Arial"/>
          <w:color w:val="000000" w:themeColor="text1"/>
          <w:sz w:val="20"/>
          <w:szCs w:val="20"/>
        </w:rPr>
        <w:t>”</w:t>
      </w:r>
    </w:p>
    <w:p>
      <w:pPr>
        <w:pStyle w:val="Wordsection1"/>
        <w:numPr>
          <w:ilvl w:val="0"/>
          <w:numId w:val="1"/>
        </w:numPr>
        <w:spacing w:lineRule="auto" w:line="276" w:beforeAutospacing="0" w:before="0" w:afterAutospacing="0" w:after="0"/>
        <w:jc w:val="both"/>
        <w:rPr>
          <w:rFonts w:ascii="Arial" w:hAnsi="Arial" w:cs="Arial"/>
          <w:bCs/>
          <w:color w:val="000000" w:themeColor="text1"/>
          <w:sz w:val="20"/>
          <w:szCs w:val="20"/>
        </w:rPr>
      </w:pPr>
      <w:r>
        <w:rPr>
          <w:rFonts w:cs="Arial" w:ascii="Arial" w:hAnsi="Arial"/>
          <w:color w:val="000000" w:themeColor="text1"/>
          <w:sz w:val="20"/>
          <w:szCs w:val="20"/>
        </w:rPr>
        <w:t xml:space="preserve"> </w:t>
      </w:r>
      <w:r>
        <w:rPr>
          <w:rFonts w:cs="Arial" w:ascii="Arial" w:hAnsi="Arial"/>
          <w:color w:val="000000" w:themeColor="text1"/>
          <w:sz w:val="20"/>
          <w:szCs w:val="20"/>
        </w:rPr>
        <w:t>§ 6 pkt 4) otrzymuje brzmienie:</w:t>
      </w:r>
    </w:p>
    <w:p>
      <w:pPr>
        <w:pStyle w:val="Wordsection1"/>
        <w:spacing w:beforeAutospacing="0" w:before="0" w:afterAutospacing="0" w:after="0"/>
        <w:ind w:left="720" w:hanging="0"/>
        <w:jc w:val="both"/>
        <w:rPr>
          <w:rFonts w:ascii="Arial" w:hAnsi="Arial" w:cs="Arial"/>
          <w:bCs/>
          <w:color w:val="000000" w:themeColor="text1"/>
          <w:sz w:val="20"/>
          <w:szCs w:val="20"/>
        </w:rPr>
      </w:pPr>
      <w:r>
        <w:rPr>
          <w:rFonts w:cs="Arial" w:ascii="Arial" w:hAnsi="Arial"/>
          <w:bCs/>
          <w:color w:val="000000" w:themeColor="text1"/>
          <w:sz w:val="20"/>
          <w:szCs w:val="20"/>
        </w:rPr>
      </w:r>
    </w:p>
    <w:p>
      <w:pPr>
        <w:pStyle w:val="Wordsection1"/>
        <w:spacing w:lineRule="auto" w:line="276"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w:t>
      </w:r>
      <w:r>
        <w:rPr>
          <w:rFonts w:cs="Arial" w:ascii="Arial" w:hAnsi="Arial"/>
          <w:color w:val="000000" w:themeColor="text1"/>
          <w:sz w:val="20"/>
          <w:szCs w:val="20"/>
        </w:rPr>
        <w:t>4) w przypadku zdiagnozowania u Ubezpieczonego sepsy, Poważnej Choroby lub wirusa</w:t>
      </w:r>
      <w:r>
        <w:rPr>
          <w:rFonts w:cs="Arial" w:ascii="Arial" w:hAnsi="Arial"/>
          <w:sz w:val="20"/>
          <w:szCs w:val="20"/>
        </w:rPr>
        <w:t xml:space="preserve"> SARS-CoV-2</w:t>
      </w:r>
      <w:r>
        <w:rPr>
          <w:rFonts w:cs="Arial" w:ascii="Arial" w:hAnsi="Arial"/>
          <w:color w:val="000000" w:themeColor="text1"/>
          <w:sz w:val="20"/>
          <w:szCs w:val="20"/>
        </w:rPr>
        <w:t xml:space="preserve"> </w:t>
        <w:br/>
        <w:t xml:space="preserve">tj.:  nowotworu złośliwego, niewydolności nerek, stwardnienia rozsianego, cukrzycy typu I, zapalenia opon mózgowo-rdzeniowych lub boreliozy – jednorazowe świadczenie w wysokości określonej zgodnie z Tabelą C, pod warunkiem iż: </w:t>
      </w:r>
    </w:p>
    <w:p>
      <w:pPr>
        <w:pStyle w:val="Wordsection1"/>
        <w:numPr>
          <w:ilvl w:val="0"/>
          <w:numId w:val="7"/>
        </w:numPr>
        <w:spacing w:lineRule="auto" w:line="276" w:beforeAutospacing="0" w:before="0" w:afterAutospacing="0" w:after="0"/>
        <w:jc w:val="both"/>
        <w:rPr>
          <w:rFonts w:ascii="Arial" w:hAnsi="Arial" w:cs="Arial"/>
          <w:color w:val="000000" w:themeColor="text1"/>
          <w:sz w:val="20"/>
          <w:szCs w:val="20"/>
        </w:rPr>
      </w:pPr>
      <w:r>
        <w:rPr>
          <w:rFonts w:cs="Arial" w:ascii="Arial" w:hAnsi="Arial"/>
          <w:color w:val="000000" w:themeColor="text1"/>
          <w:sz w:val="20"/>
          <w:szCs w:val="20"/>
        </w:rPr>
        <w:t xml:space="preserve"> </w:t>
      </w:r>
      <w:r>
        <w:rPr>
          <w:rFonts w:cs="Arial" w:ascii="Arial" w:hAnsi="Arial"/>
          <w:color w:val="000000" w:themeColor="text1"/>
          <w:sz w:val="20"/>
          <w:szCs w:val="20"/>
        </w:rPr>
        <w:t>Sepsa lub Poważna Choroba została zdiagnozowana u Ubezpieczonego po raz pierwszy w okresie trwania ochrony ubezpieczeniowej;</w:t>
      </w:r>
    </w:p>
    <w:p>
      <w:pPr>
        <w:pStyle w:val="Normal"/>
        <w:spacing w:lineRule="auto" w:line="276" w:before="0" w:after="0"/>
        <w:ind w:firstLine="708"/>
        <w:rPr>
          <w:rFonts w:ascii="Arial" w:hAnsi="Arial" w:cs="Arial"/>
          <w:sz w:val="20"/>
          <w:szCs w:val="20"/>
        </w:rPr>
      </w:pPr>
      <w:r>
        <w:rPr>
          <w:rFonts w:cs="Arial" w:ascii="Arial" w:hAnsi="Arial"/>
          <w:sz w:val="20"/>
          <w:szCs w:val="20"/>
        </w:rPr>
        <w:t>b) wirus SARS-CoV-2 został zdiagnozowany po raz pierwszy w okresie trwania</w:t>
      </w:r>
    </w:p>
    <w:p>
      <w:pPr>
        <w:pStyle w:val="Wordsection1"/>
        <w:spacing w:lineRule="auto" w:line="276" w:beforeAutospacing="0" w:before="0" w:afterAutospacing="0" w:after="0"/>
        <w:ind w:left="1080" w:hanging="0"/>
        <w:jc w:val="both"/>
        <w:rPr>
          <w:rFonts w:ascii="Arial" w:hAnsi="Arial" w:cs="Arial"/>
          <w:sz w:val="20"/>
          <w:szCs w:val="20"/>
        </w:rPr>
      </w:pPr>
      <w:r>
        <w:rPr>
          <w:rFonts w:cs="Arial" w:ascii="Arial" w:hAnsi="Arial"/>
          <w:sz w:val="20"/>
          <w:szCs w:val="20"/>
        </w:rPr>
        <w:t>ochrony ubezpieczeniowej u Ubezpieczonego, który w momencie zawierania</w:t>
      </w:r>
      <w:r>
        <w:rPr>
          <w:rFonts w:cs="MyriadPro-Regular" w:ascii="MyriadPro-Regular" w:hAnsi="MyriadPro-Regular"/>
          <w:sz w:val="14"/>
          <w:szCs w:val="14"/>
        </w:rPr>
        <w:t xml:space="preserve"> </w:t>
      </w:r>
      <w:r>
        <w:rPr>
          <w:rFonts w:cs="Arial" w:ascii="Arial" w:hAnsi="Arial"/>
          <w:sz w:val="20"/>
          <w:szCs w:val="20"/>
        </w:rPr>
        <w:t xml:space="preserve">umowy ubezpieczenia nie ukończył 15 roku życia; </w:t>
      </w:r>
    </w:p>
    <w:p>
      <w:pPr>
        <w:pStyle w:val="Wordsection1"/>
        <w:spacing w:beforeAutospacing="0" w:before="0" w:afterAutospacing="0" w:after="0"/>
        <w:ind w:left="1080" w:hanging="0"/>
        <w:jc w:val="both"/>
        <w:rPr>
          <w:rFonts w:ascii="Arial" w:hAnsi="Arial" w:cs="Arial"/>
          <w:sz w:val="20"/>
          <w:szCs w:val="20"/>
        </w:rPr>
      </w:pPr>
      <w:r>
        <w:rPr>
          <w:rFonts w:cs="Arial" w:ascii="Arial" w:hAnsi="Arial"/>
          <w:sz w:val="20"/>
          <w:szCs w:val="20"/>
        </w:rPr>
      </w:r>
    </w:p>
    <w:p>
      <w:pPr>
        <w:pStyle w:val="Wordsection1"/>
        <w:spacing w:beforeAutospacing="0" w:before="0" w:afterAutospacing="0" w:after="0"/>
        <w:ind w:left="1080" w:hanging="0"/>
        <w:jc w:val="both"/>
        <w:rPr>
          <w:rFonts w:ascii="Arial" w:hAnsi="Arial" w:cs="Arial"/>
          <w:sz w:val="20"/>
          <w:szCs w:val="20"/>
        </w:rPr>
      </w:pPr>
      <w:r>
        <w:rPr>
          <w:rFonts w:cs="Arial" w:ascii="Arial" w:hAnsi="Arial"/>
          <w:sz w:val="20"/>
          <w:szCs w:val="20"/>
        </w:rPr>
      </w:r>
    </w:p>
    <w:p>
      <w:pPr>
        <w:pStyle w:val="Wordsection1"/>
        <w:spacing w:beforeAutospacing="0" w:before="0" w:afterAutospacing="0" w:after="0"/>
        <w:ind w:left="1080" w:hanging="0"/>
        <w:jc w:val="both"/>
        <w:rPr>
          <w:rFonts w:ascii="Arial" w:hAnsi="Arial" w:cs="Arial"/>
          <w:sz w:val="20"/>
          <w:szCs w:val="20"/>
        </w:rPr>
      </w:pPr>
      <w:r>
        <w:rPr>
          <w:rFonts w:cs="Arial" w:ascii="Arial" w:hAnsi="Arial"/>
          <w:sz w:val="20"/>
          <w:szCs w:val="20"/>
        </w:rPr>
      </w:r>
    </w:p>
    <w:p>
      <w:pPr>
        <w:pStyle w:val="Wordsection1"/>
        <w:spacing w:beforeAutospacing="0" w:before="0" w:afterAutospacing="0" w:after="0"/>
        <w:ind w:left="1080" w:hanging="0"/>
        <w:jc w:val="both"/>
        <w:rPr>
          <w:rFonts w:ascii="Arial" w:hAnsi="Arial" w:cs="Arial"/>
          <w:sz w:val="20"/>
          <w:szCs w:val="20"/>
        </w:rPr>
      </w:pPr>
      <w:r>
        <w:rPr>
          <w:rFonts w:cs="Arial" w:ascii="Arial" w:hAnsi="Arial"/>
          <w:sz w:val="20"/>
          <w:szCs w:val="20"/>
        </w:rPr>
      </w:r>
    </w:p>
    <w:p>
      <w:pPr>
        <w:pStyle w:val="Wordsection1"/>
        <w:spacing w:beforeAutospacing="0" w:before="0" w:afterAutospacing="0" w:after="0"/>
        <w:ind w:left="1080" w:hanging="0"/>
        <w:jc w:val="both"/>
        <w:rPr>
          <w:rFonts w:ascii="Arial" w:hAnsi="Arial" w:cs="Arial"/>
          <w:sz w:val="20"/>
          <w:szCs w:val="20"/>
        </w:rPr>
      </w:pPr>
      <w:r>
        <w:rPr>
          <w:rFonts w:cs="Arial" w:ascii="Arial" w:hAnsi="Arial"/>
          <w:sz w:val="20"/>
          <w:szCs w:val="20"/>
        </w:rPr>
      </w:r>
    </w:p>
    <w:p>
      <w:pPr>
        <w:pStyle w:val="Wordsection1"/>
        <w:spacing w:beforeAutospacing="0" w:before="0" w:afterAutospacing="0" w:after="0"/>
        <w:ind w:left="1080" w:hanging="0"/>
        <w:jc w:val="both"/>
        <w:rPr>
          <w:rFonts w:ascii="Arial" w:hAnsi="Arial" w:cs="Arial"/>
          <w:color w:val="000000" w:themeColor="text1"/>
          <w:sz w:val="20"/>
          <w:szCs w:val="20"/>
        </w:rPr>
      </w:pPr>
      <w:r>
        <w:rPr>
          <w:rFonts w:cs="Arial" w:ascii="Arial" w:hAnsi="Arial"/>
          <w:color w:val="000000" w:themeColor="text1"/>
          <w:sz w:val="20"/>
          <w:szCs w:val="20"/>
        </w:rPr>
      </w:r>
    </w:p>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Tabela C</w:t>
      </w:r>
    </w:p>
    <w:tbl>
      <w:tblPr>
        <w:tblW w:w="9209" w:type="dxa"/>
        <w:jc w:val="left"/>
        <w:tblInd w:w="0" w:type="dxa"/>
        <w:tblBorders>
          <w:top w:val="single" w:sz="4" w:space="0" w:color="000000"/>
          <w:left w:val="single" w:sz="4" w:space="0" w:color="000000"/>
          <w:bottom w:val="single" w:sz="4" w:space="0" w:color="000000"/>
          <w:right w:val="single" w:sz="8" w:space="0" w:color="000000"/>
          <w:insideH w:val="single" w:sz="4" w:space="0" w:color="000000"/>
          <w:insideV w:val="single" w:sz="8" w:space="0" w:color="000000"/>
        </w:tblBorders>
        <w:tblCellMar>
          <w:top w:w="0" w:type="dxa"/>
          <w:left w:w="70" w:type="dxa"/>
          <w:bottom w:w="0" w:type="dxa"/>
          <w:right w:w="70" w:type="dxa"/>
        </w:tblCellMar>
        <w:tblLook w:firstRow="1" w:noVBand="1" w:lastRow="0" w:firstColumn="1" w:lastColumn="0" w:noHBand="0" w:val="04a0"/>
      </w:tblPr>
      <w:tblGrid>
        <w:gridCol w:w="4530"/>
        <w:gridCol w:w="1277"/>
        <w:gridCol w:w="1133"/>
        <w:gridCol w:w="1134"/>
        <w:gridCol w:w="1135"/>
      </w:tblGrid>
      <w:tr>
        <w:trPr>
          <w:trHeight w:val="636" w:hRule="atLeast"/>
        </w:trPr>
        <w:tc>
          <w:tcPr>
            <w:tcW w:w="4530"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Rodzaj Świadczenia</w:t>
            </w:r>
          </w:p>
        </w:tc>
        <w:tc>
          <w:tcPr>
            <w:tcW w:w="1277"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WARIANT</w:t>
              <w:br/>
              <w:t xml:space="preserve"> I </w:t>
            </w:r>
          </w:p>
        </w:tc>
        <w:tc>
          <w:tcPr>
            <w:tcW w:w="1133"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WARIANT</w:t>
              <w:br/>
              <w:t xml:space="preserve"> II </w:t>
            </w:r>
          </w:p>
        </w:tc>
        <w:tc>
          <w:tcPr>
            <w:tcW w:w="1134"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WARIANT</w:t>
              <w:br/>
              <w:t xml:space="preserve"> III</w:t>
            </w:r>
          </w:p>
        </w:tc>
        <w:tc>
          <w:tcPr>
            <w:tcW w:w="113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 xml:space="preserve">WARIANT </w:t>
              <w:br/>
              <w:t>IV</w:t>
            </w:r>
          </w:p>
        </w:tc>
      </w:tr>
      <w:tr>
        <w:trPr>
          <w:trHeight w:val="432" w:hRule="atLeast"/>
        </w:trPr>
        <w:tc>
          <w:tcPr>
            <w:tcW w:w="4530"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SUMA UBEZPIECZENIA</w:t>
            </w:r>
          </w:p>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Opcji Podstawowej:</w:t>
            </w:r>
          </w:p>
        </w:tc>
        <w:tc>
          <w:tcPr>
            <w:tcW w:w="1277"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15 000</w:t>
            </w:r>
          </w:p>
        </w:tc>
        <w:tc>
          <w:tcPr>
            <w:tcW w:w="113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20 000</w:t>
            </w:r>
          </w:p>
        </w:tc>
        <w:tc>
          <w:tcPr>
            <w:tcW w:w="113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25 000</w:t>
            </w:r>
          </w:p>
        </w:tc>
        <w:tc>
          <w:tcPr>
            <w:tcW w:w="113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30 000</w:t>
            </w:r>
          </w:p>
        </w:tc>
      </w:tr>
      <w:tr>
        <w:trPr>
          <w:trHeight w:val="203" w:hRule="atLeast"/>
        </w:trPr>
        <w:tc>
          <w:tcPr>
            <w:tcW w:w="4530" w:type="dxa"/>
            <w:tcBorders>
              <w:top w:val="single" w:sz="4"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r>
          </w:p>
        </w:tc>
        <w:tc>
          <w:tcPr>
            <w:tcW w:w="4679" w:type="dxa"/>
            <w:gridSpan w:val="4"/>
            <w:tcBorders>
              <w:top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Wartość świadczeń wyrażona w polskich złotych</w:t>
            </w:r>
          </w:p>
        </w:tc>
      </w:tr>
      <w:tr>
        <w:trPr>
          <w:trHeight w:val="1075" w:hRule="atLeast"/>
        </w:trPr>
        <w:tc>
          <w:tcPr>
            <w:tcW w:w="453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Zdiagnozowanie u Ubezpieczonego sepsy, Poważnej Choroby: (nowotwór złośliwy, niewydolność nerek;  stwardnienie rozsiane; cukrzyca typu I; zapalenie opon mózgowo-rdzeniowych) lub wirusa SARS-CoV-2.</w:t>
            </w:r>
          </w:p>
        </w:tc>
        <w:tc>
          <w:tcPr>
            <w:tcW w:w="1277"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color w:val="000000" w:themeColor="text1"/>
                <w:sz w:val="20"/>
                <w:szCs w:val="20"/>
                <w:lang w:eastAsia="pl-PL"/>
              </w:rPr>
            </w:pPr>
            <w:r>
              <w:rPr>
                <w:rFonts w:eastAsia="Times New Roman" w:cs="Arial" w:ascii="Arial" w:hAnsi="Arial"/>
                <w:color w:val="000000" w:themeColor="text1"/>
                <w:sz w:val="20"/>
                <w:szCs w:val="20"/>
                <w:lang w:eastAsia="pl-PL"/>
              </w:rPr>
              <w:t>1200</w:t>
            </w:r>
          </w:p>
        </w:tc>
        <w:tc>
          <w:tcPr>
            <w:tcW w:w="113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color w:val="000000" w:themeColor="text1"/>
                <w:sz w:val="20"/>
                <w:szCs w:val="20"/>
                <w:lang w:eastAsia="pl-PL"/>
              </w:rPr>
            </w:pPr>
            <w:r>
              <w:rPr>
                <w:rFonts w:eastAsia="Times New Roman" w:cs="Arial" w:ascii="Arial" w:hAnsi="Arial"/>
                <w:color w:val="000000" w:themeColor="text1"/>
                <w:sz w:val="20"/>
                <w:szCs w:val="20"/>
                <w:lang w:eastAsia="pl-PL"/>
              </w:rPr>
              <w:t>1600</w:t>
            </w:r>
          </w:p>
        </w:tc>
        <w:tc>
          <w:tcPr>
            <w:tcW w:w="113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color w:val="000000" w:themeColor="text1"/>
                <w:sz w:val="20"/>
                <w:szCs w:val="20"/>
                <w:lang w:eastAsia="pl-PL"/>
              </w:rPr>
            </w:pPr>
            <w:r>
              <w:rPr>
                <w:rFonts w:eastAsia="Times New Roman" w:cs="Arial" w:ascii="Arial" w:hAnsi="Arial"/>
                <w:color w:val="000000" w:themeColor="text1"/>
                <w:sz w:val="20"/>
                <w:szCs w:val="20"/>
                <w:lang w:eastAsia="pl-PL"/>
              </w:rPr>
              <w:t>2000</w:t>
            </w:r>
          </w:p>
        </w:tc>
        <w:tc>
          <w:tcPr>
            <w:tcW w:w="113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color w:val="000000" w:themeColor="text1"/>
                <w:sz w:val="20"/>
                <w:szCs w:val="20"/>
                <w:lang w:eastAsia="pl-PL"/>
              </w:rPr>
            </w:pPr>
            <w:r>
              <w:rPr>
                <w:rFonts w:eastAsia="Times New Roman" w:cs="Arial" w:ascii="Arial" w:hAnsi="Arial"/>
                <w:color w:val="000000" w:themeColor="text1"/>
                <w:sz w:val="20"/>
                <w:szCs w:val="20"/>
                <w:lang w:eastAsia="pl-PL"/>
              </w:rPr>
              <w:t>3000</w:t>
            </w:r>
          </w:p>
        </w:tc>
      </w:tr>
    </w:tbl>
    <w:p>
      <w:pPr>
        <w:pStyle w:val="Wordsection1"/>
        <w:spacing w:beforeAutospacing="0" w:before="0" w:afterAutospacing="0" w:after="0"/>
        <w:ind w:left="720" w:hanging="0"/>
        <w:jc w:val="right"/>
        <w:rPr>
          <w:rFonts w:ascii="Arial" w:hAnsi="Arial" w:cs="Arial"/>
          <w:bCs/>
          <w:color w:val="000000" w:themeColor="text1"/>
          <w:sz w:val="20"/>
          <w:szCs w:val="20"/>
        </w:rPr>
      </w:pPr>
      <w:r>
        <w:rPr>
          <w:rFonts w:cs="Arial" w:ascii="Arial" w:hAnsi="Arial"/>
          <w:bCs/>
          <w:color w:val="FFFFFF" w:themeColor="background1"/>
          <w:sz w:val="20"/>
          <w:szCs w:val="20"/>
        </w:rPr>
        <w:t>X</w:t>
      </w:r>
      <w:r>
        <w:rPr>
          <w:rFonts w:cs="Arial" w:ascii="Arial" w:hAnsi="Arial"/>
          <w:bCs/>
          <w:color w:val="000000" w:themeColor="text1"/>
          <w:sz w:val="20"/>
          <w:szCs w:val="20"/>
        </w:rPr>
        <w:t>”</w:t>
      </w:r>
    </w:p>
    <w:p>
      <w:pPr>
        <w:pStyle w:val="Wordsection1"/>
        <w:spacing w:beforeAutospacing="0" w:before="0" w:afterAutospacing="0" w:after="0"/>
        <w:ind w:left="1070" w:hanging="0"/>
        <w:jc w:val="both"/>
        <w:rPr>
          <w:rFonts w:ascii="Arial" w:hAnsi="Arial" w:cs="Arial"/>
          <w:bCs/>
          <w:color w:val="000000" w:themeColor="text1"/>
          <w:sz w:val="20"/>
          <w:szCs w:val="20"/>
        </w:rPr>
      </w:pPr>
      <w:r>
        <w:rPr>
          <w:rFonts w:cs="Arial" w:ascii="Arial" w:hAnsi="Arial"/>
          <w:bCs/>
          <w:color w:val="000000" w:themeColor="text1"/>
          <w:sz w:val="20"/>
          <w:szCs w:val="20"/>
        </w:rPr>
      </w:r>
    </w:p>
    <w:p>
      <w:pPr>
        <w:pStyle w:val="Wordsection1"/>
        <w:numPr>
          <w:ilvl w:val="0"/>
          <w:numId w:val="1"/>
        </w:numPr>
        <w:spacing w:beforeAutospacing="0" w:before="0" w:afterAutospacing="0" w:after="0"/>
        <w:jc w:val="both"/>
        <w:rPr>
          <w:rFonts w:ascii="Arial" w:hAnsi="Arial" w:cs="Arial"/>
          <w:bCs/>
          <w:color w:val="000000" w:themeColor="text1"/>
          <w:sz w:val="20"/>
          <w:szCs w:val="20"/>
        </w:rPr>
      </w:pPr>
      <w:r>
        <w:rPr>
          <w:rFonts w:cs="Arial" w:ascii="Arial" w:hAnsi="Arial"/>
          <w:color w:val="000000" w:themeColor="text1"/>
          <w:sz w:val="20"/>
          <w:szCs w:val="20"/>
        </w:rPr>
        <w:t>§ 6 pkt 6) otrzymuje brzmienie:</w:t>
      </w:r>
    </w:p>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bCs/>
          <w:color w:val="000000" w:themeColor="text1"/>
          <w:sz w:val="20"/>
          <w:szCs w:val="20"/>
        </w:rPr>
        <w:t>„</w:t>
      </w:r>
      <w:r>
        <w:rPr>
          <w:rFonts w:cs="Arial" w:ascii="Arial" w:hAnsi="Arial"/>
          <w:color w:val="000000" w:themeColor="text1"/>
          <w:sz w:val="20"/>
          <w:szCs w:val="20"/>
        </w:rPr>
        <w:t xml:space="preserve">6) – w przypadku pogryzienia przez psa, pokąsania, ukąszenia/użądlenia – </w:t>
      </w:r>
    </w:p>
    <w:p>
      <w:pPr>
        <w:pStyle w:val="Wordsection1"/>
        <w:spacing w:beforeAutospacing="0" w:before="0" w:afterAutospacing="0" w:after="0"/>
        <w:ind w:left="720" w:hanging="0"/>
        <w:jc w:val="both"/>
        <w:rPr>
          <w:rFonts w:ascii="Arial" w:hAnsi="Arial" w:cs="Arial"/>
          <w:bCs/>
          <w:color w:val="000000" w:themeColor="text1"/>
          <w:sz w:val="20"/>
          <w:szCs w:val="20"/>
        </w:rPr>
      </w:pPr>
      <w:r>
        <w:rPr>
          <w:rFonts w:cs="Arial" w:ascii="Arial" w:hAnsi="Arial"/>
          <w:color w:val="000000" w:themeColor="text1"/>
          <w:sz w:val="20"/>
          <w:szCs w:val="20"/>
        </w:rPr>
        <w:t>Jednorazowe świadczenie w wysokości 1% sumy ubezpieczenia określonej w umowie ubezpieczenia, pod warunkiem skorzystania z pomocy medycznej, leczenia ambulatoryjnego w placówce medycznej i co najmniej jednej wizyty kontrolnej.”</w:t>
      </w:r>
    </w:p>
    <w:p>
      <w:pPr>
        <w:pStyle w:val="Wordsection1"/>
        <w:spacing w:beforeAutospacing="0" w:before="0" w:afterAutospacing="0" w:after="0"/>
        <w:ind w:left="720" w:hanging="0"/>
        <w:jc w:val="both"/>
        <w:rPr>
          <w:rFonts w:ascii="Arial" w:hAnsi="Arial" w:cs="Arial"/>
          <w:bCs/>
          <w:color w:val="000000" w:themeColor="text1"/>
          <w:sz w:val="20"/>
          <w:szCs w:val="20"/>
        </w:rPr>
      </w:pPr>
      <w:r>
        <w:rPr>
          <w:rFonts w:cs="Arial" w:ascii="Arial" w:hAnsi="Arial"/>
          <w:bCs/>
          <w:color w:val="000000" w:themeColor="text1"/>
          <w:sz w:val="20"/>
          <w:szCs w:val="20"/>
        </w:rPr>
      </w:r>
    </w:p>
    <w:p>
      <w:pPr>
        <w:pStyle w:val="Wordsection1"/>
        <w:spacing w:beforeAutospacing="0" w:before="0" w:afterAutospacing="0" w:after="0"/>
        <w:ind w:left="720" w:hanging="0"/>
        <w:jc w:val="both"/>
        <w:rPr>
          <w:rFonts w:ascii="Arial" w:hAnsi="Arial" w:cs="Arial"/>
          <w:bCs/>
          <w:color w:val="000000" w:themeColor="text1"/>
          <w:sz w:val="20"/>
          <w:szCs w:val="20"/>
        </w:rPr>
      </w:pPr>
      <w:r>
        <w:rPr>
          <w:rFonts w:cs="Arial" w:ascii="Arial" w:hAnsi="Arial"/>
          <w:bCs/>
          <w:color w:val="000000" w:themeColor="text1"/>
          <w:sz w:val="20"/>
          <w:szCs w:val="20"/>
        </w:rPr>
      </w:r>
    </w:p>
    <w:p>
      <w:pPr>
        <w:pStyle w:val="Wordsection1"/>
        <w:numPr>
          <w:ilvl w:val="0"/>
          <w:numId w:val="1"/>
        </w:numPr>
        <w:spacing w:beforeAutospacing="0" w:before="0" w:afterAutospacing="0" w:after="0"/>
        <w:jc w:val="both"/>
        <w:rPr>
          <w:rFonts w:ascii="Arial" w:hAnsi="Arial" w:cs="Arial"/>
          <w:bCs/>
          <w:color w:val="000000" w:themeColor="text1"/>
          <w:sz w:val="20"/>
          <w:szCs w:val="20"/>
        </w:rPr>
      </w:pPr>
      <w:r>
        <w:rPr>
          <w:rFonts w:cs="Arial" w:ascii="Arial" w:hAnsi="Arial"/>
          <w:color w:val="000000" w:themeColor="text1"/>
          <w:sz w:val="20"/>
          <w:szCs w:val="20"/>
        </w:rPr>
        <w:t>§ 11 ust. 1 pkt. 2) otrzymuje brzmienie:</w:t>
      </w:r>
    </w:p>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w:t>
      </w:r>
      <w:r>
        <w:rPr>
          <w:rFonts w:cs="Arial" w:ascii="Arial" w:hAnsi="Arial"/>
          <w:color w:val="000000" w:themeColor="text1"/>
          <w:sz w:val="20"/>
          <w:szCs w:val="20"/>
        </w:rPr>
        <w:t>2) Opcja Dodatkowa D2- oparzenia w wyniku nieszczęśliwego wypadku – wysokość świadczenia uzależnionych od stopnia oparzenia zgodnie z Tabelą nr 6.</w:t>
      </w:r>
    </w:p>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r>
    </w:p>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t>Tabela nr 6</w:t>
      </w:r>
    </w:p>
    <w:tbl>
      <w:tblPr>
        <w:tblW w:w="9204"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70" w:type="dxa"/>
          <w:bottom w:w="0" w:type="dxa"/>
          <w:right w:w="70" w:type="dxa"/>
        </w:tblCellMar>
        <w:tblLook w:firstRow="1" w:noVBand="1" w:lastRow="0" w:firstColumn="1" w:lastColumn="0" w:noHBand="0" w:val="04a0"/>
      </w:tblPr>
      <w:tblGrid>
        <w:gridCol w:w="3391"/>
        <w:gridCol w:w="1560"/>
        <w:gridCol w:w="1134"/>
        <w:gridCol w:w="1559"/>
        <w:gridCol w:w="1560"/>
      </w:tblGrid>
      <w:tr>
        <w:trPr>
          <w:trHeight w:val="636" w:hRule="atLeast"/>
        </w:trPr>
        <w:tc>
          <w:tcPr>
            <w:tcW w:w="33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Rodzaj Świadczenia</w:t>
            </w:r>
          </w:p>
        </w:tc>
        <w:tc>
          <w:tcPr>
            <w:tcW w:w="1560" w:type="dxa"/>
            <w:tcBorders>
              <w:top w:val="single" w:sz="8" w:space="0" w:color="000000"/>
              <w:bottom w:val="single" w:sz="8" w:space="0" w:color="000000"/>
              <w:insideH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WARIANT</w:t>
              <w:br/>
              <w:t xml:space="preserve">I </w:t>
            </w:r>
          </w:p>
        </w:tc>
        <w:tc>
          <w:tcPr>
            <w:tcW w:w="1134" w:type="dxa"/>
            <w:tcBorders>
              <w:top w:val="single" w:sz="8" w:space="0" w:color="000000"/>
              <w:bottom w:val="single" w:sz="8" w:space="0" w:color="000000"/>
              <w:insideH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WARIANT</w:t>
              <w:br/>
              <w:t xml:space="preserve"> II </w:t>
            </w:r>
          </w:p>
        </w:tc>
        <w:tc>
          <w:tcPr>
            <w:tcW w:w="1559" w:type="dxa"/>
            <w:tcBorders>
              <w:top w:val="single" w:sz="8" w:space="0" w:color="000000"/>
              <w:bottom w:val="single" w:sz="8" w:space="0" w:color="000000"/>
              <w:insideH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WARIANT</w:t>
              <w:br/>
              <w:t xml:space="preserve"> III</w:t>
            </w:r>
          </w:p>
        </w:tc>
        <w:tc>
          <w:tcPr>
            <w:tcW w:w="156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 xml:space="preserve">WARIANT </w:t>
              <w:br/>
              <w:t>IV</w:t>
            </w:r>
          </w:p>
        </w:tc>
      </w:tr>
      <w:tr>
        <w:trPr>
          <w:trHeight w:val="432" w:hRule="atLeast"/>
        </w:trPr>
        <w:tc>
          <w:tcPr>
            <w:tcW w:w="3391" w:type="dxa"/>
            <w:tcBorders>
              <w:left w:val="single" w:sz="4"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SUMA UBEZPIECZENIA</w:t>
            </w:r>
          </w:p>
        </w:tc>
        <w:tc>
          <w:tcPr>
            <w:tcW w:w="1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15 000</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20 000</w:t>
            </w:r>
          </w:p>
        </w:tc>
        <w:tc>
          <w:tcPr>
            <w:tcW w:w="155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25 000</w:t>
            </w:r>
          </w:p>
        </w:tc>
        <w:tc>
          <w:tcPr>
            <w:tcW w:w="156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30 000</w:t>
            </w:r>
          </w:p>
        </w:tc>
      </w:tr>
      <w:tr>
        <w:trPr>
          <w:trHeight w:val="432" w:hRule="atLeast"/>
        </w:trPr>
        <w:tc>
          <w:tcPr>
            <w:tcW w:w="3391" w:type="dxa"/>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r>
          </w:p>
        </w:tc>
        <w:tc>
          <w:tcPr>
            <w:tcW w:w="581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Wartość świadczeń wyrażona w polskich złotych</w:t>
            </w:r>
          </w:p>
        </w:tc>
      </w:tr>
      <w:tr>
        <w:trPr>
          <w:trHeight w:val="1056" w:hRule="atLeast"/>
        </w:trPr>
        <w:tc>
          <w:tcPr>
            <w:tcW w:w="3391" w:type="dxa"/>
            <w:tcBorders>
              <w:left w:val="single" w:sz="8" w:space="0" w:color="000000"/>
              <w:bottom w:val="single" w:sz="8" w:space="0" w:color="000000"/>
              <w:insideH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Oparzenia w wyniku nieszczęśliwego wypadku</w:t>
              <w:br/>
              <w:t>(II ,III lub IV stopień oparzenia).</w:t>
            </w:r>
          </w:p>
        </w:tc>
        <w:tc>
          <w:tcPr>
            <w:tcW w:w="1560" w:type="dxa"/>
            <w:tcBorders>
              <w:top w:val="single" w:sz="4" w:space="0" w:color="000000"/>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II - 300</w:t>
              <w:br/>
              <w:t>III - 900</w:t>
              <w:br/>
              <w:t>IV - 1500</w:t>
            </w:r>
          </w:p>
        </w:tc>
        <w:tc>
          <w:tcPr>
            <w:tcW w:w="1134" w:type="dxa"/>
            <w:tcBorders>
              <w:top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II - 500</w:t>
              <w:br/>
              <w:t>III - 1500</w:t>
              <w:br/>
              <w:t>IV - 2500</w:t>
            </w:r>
          </w:p>
        </w:tc>
        <w:tc>
          <w:tcPr>
            <w:tcW w:w="1559" w:type="dxa"/>
            <w:tcBorders>
              <w:top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II - 600</w:t>
              <w:br/>
              <w:t>III - 1800</w:t>
              <w:br/>
              <w:t>IV - 3000</w:t>
            </w:r>
          </w:p>
        </w:tc>
        <w:tc>
          <w:tcPr>
            <w:tcW w:w="1560" w:type="dxa"/>
            <w:tcBorders>
              <w:top w:val="single" w:sz="4"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II - 700</w:t>
              <w:br/>
              <w:t>III – 2100</w:t>
              <w:br/>
              <w:t>IV – 3500</w:t>
            </w:r>
          </w:p>
        </w:tc>
      </w:tr>
    </w:tbl>
    <w:p>
      <w:pPr>
        <w:pStyle w:val="Wordsection1"/>
        <w:spacing w:beforeAutospacing="0" w:before="0" w:afterAutospacing="0" w:after="0"/>
        <w:ind w:left="720" w:hanging="0"/>
        <w:jc w:val="both"/>
        <w:rPr>
          <w:rFonts w:ascii="Arial" w:hAnsi="Arial" w:cs="Arial"/>
          <w:color w:val="000000" w:themeColor="text1"/>
          <w:sz w:val="20"/>
          <w:szCs w:val="20"/>
        </w:rPr>
      </w:pPr>
      <w:r>
        <w:rPr>
          <w:rFonts w:cs="Arial" w:ascii="Arial" w:hAnsi="Arial"/>
          <w:color w:val="000000" w:themeColor="text1"/>
          <w:sz w:val="20"/>
          <w:szCs w:val="20"/>
        </w:rPr>
      </w:r>
    </w:p>
    <w:p>
      <w:pPr>
        <w:pStyle w:val="Wordsection1"/>
        <w:spacing w:beforeAutospacing="0" w:before="0" w:afterAutospacing="0" w:after="0"/>
        <w:ind w:left="720" w:hanging="0"/>
        <w:jc w:val="both"/>
        <w:rPr>
          <w:rFonts w:ascii="Arial" w:hAnsi="Arial" w:cs="Arial"/>
          <w:bCs/>
          <w:color w:val="000000" w:themeColor="text1"/>
          <w:sz w:val="20"/>
          <w:szCs w:val="20"/>
        </w:rPr>
      </w:pPr>
      <w:r>
        <w:rPr>
          <w:rFonts w:cs="Arial" w:ascii="Arial" w:hAnsi="Arial"/>
          <w:bCs/>
          <w:color w:val="000000" w:themeColor="text1"/>
          <w:sz w:val="20"/>
          <w:szCs w:val="20"/>
        </w:rPr>
      </w:r>
    </w:p>
    <w:p>
      <w:pPr>
        <w:pStyle w:val="Wordsection1"/>
        <w:numPr>
          <w:ilvl w:val="0"/>
          <w:numId w:val="1"/>
        </w:numPr>
        <w:spacing w:beforeAutospacing="0" w:before="0" w:afterAutospacing="0" w:after="0"/>
        <w:jc w:val="both"/>
        <w:rPr>
          <w:rFonts w:ascii="Arial" w:hAnsi="Arial" w:cs="Arial"/>
          <w:bCs/>
          <w:color w:val="000000" w:themeColor="text1"/>
          <w:sz w:val="20"/>
          <w:szCs w:val="20"/>
        </w:rPr>
      </w:pPr>
      <w:r>
        <w:rPr>
          <w:rFonts w:cs="Arial" w:ascii="Arial" w:hAnsi="Arial"/>
          <w:color w:val="000000" w:themeColor="text1"/>
          <w:sz w:val="20"/>
          <w:szCs w:val="20"/>
        </w:rPr>
        <w:t xml:space="preserve">§ 11 ust. 1 pkt. 4) otrzymuje brzmienie: </w:t>
      </w:r>
    </w:p>
    <w:p>
      <w:pPr>
        <w:pStyle w:val="Wordsection1"/>
        <w:spacing w:beforeAutospacing="0" w:before="0" w:afterAutospacing="0" w:after="0"/>
        <w:rPr>
          <w:rFonts w:ascii="Arial" w:hAnsi="Arial" w:cs="Arial"/>
          <w:color w:val="000000" w:themeColor="text1"/>
          <w:sz w:val="20"/>
          <w:szCs w:val="20"/>
        </w:rPr>
      </w:pPr>
      <w:r>
        <w:rPr>
          <w:rFonts w:cs="Arial" w:ascii="Arial" w:hAnsi="Arial"/>
          <w:color w:val="000000" w:themeColor="text1"/>
          <w:sz w:val="20"/>
          <w:szCs w:val="20"/>
        </w:rPr>
        <w:t>„</w:t>
      </w:r>
      <w:r>
        <w:rPr>
          <w:rFonts w:cs="Arial" w:ascii="Arial" w:hAnsi="Arial"/>
          <w:color w:val="000000" w:themeColor="text1"/>
          <w:sz w:val="20"/>
          <w:szCs w:val="20"/>
        </w:rPr>
        <w:t xml:space="preserve">4) </w:t>
      </w:r>
      <w:r>
        <w:rPr>
          <w:rFonts w:cs="Arial" w:ascii="Arial" w:hAnsi="Arial"/>
          <w:bCs/>
          <w:color w:val="000000" w:themeColor="text1"/>
          <w:sz w:val="20"/>
          <w:szCs w:val="20"/>
        </w:rPr>
        <w:t xml:space="preserve">Opcja Dodatkowa D4 – pobyt w szpitalu w okresie ubezpieczenia w wyniku nieszczęśliwego wypadku </w:t>
      </w:r>
      <w:r>
        <w:rPr>
          <w:rFonts w:cs="Arial" w:ascii="Arial" w:hAnsi="Arial"/>
          <w:color w:val="000000" w:themeColor="text1"/>
          <w:sz w:val="20"/>
          <w:szCs w:val="20"/>
        </w:rPr>
        <w:t>– świadczenie w wysokości określonej w Tabeli D wg wybranego wariantu ubezpieczenia,</w:t>
        <w:br/>
        <w:t>Tabela D</w:t>
      </w:r>
    </w:p>
    <w:tbl>
      <w:tblPr>
        <w:tblW w:w="8921" w:type="dxa"/>
        <w:jc w:val="left"/>
        <w:tblInd w:w="0"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CellMar>
          <w:top w:w="0" w:type="dxa"/>
          <w:left w:w="70" w:type="dxa"/>
          <w:bottom w:w="0" w:type="dxa"/>
          <w:right w:w="70" w:type="dxa"/>
        </w:tblCellMar>
        <w:tblLook w:firstRow="1" w:noVBand="1" w:lastRow="0" w:firstColumn="1" w:lastColumn="0" w:noHBand="0" w:val="04a0"/>
      </w:tblPr>
      <w:tblGrid>
        <w:gridCol w:w="3391"/>
        <w:gridCol w:w="1418"/>
        <w:gridCol w:w="1416"/>
        <w:gridCol w:w="1418"/>
        <w:gridCol w:w="1278"/>
      </w:tblGrid>
      <w:tr>
        <w:trPr>
          <w:trHeight w:val="636" w:hRule="atLeast"/>
        </w:trPr>
        <w:tc>
          <w:tcPr>
            <w:tcW w:w="3391"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Rodzaj Świadczenia</w:t>
            </w:r>
          </w:p>
        </w:tc>
        <w:tc>
          <w:tcPr>
            <w:tcW w:w="1418" w:type="dxa"/>
            <w:tcBorders>
              <w:top w:val="single" w:sz="8"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WARIANT</w:t>
              <w:br/>
              <w:t xml:space="preserve">I </w:t>
            </w:r>
          </w:p>
        </w:tc>
        <w:tc>
          <w:tcPr>
            <w:tcW w:w="1416" w:type="dxa"/>
            <w:tcBorders>
              <w:top w:val="single" w:sz="8"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WARIANT</w:t>
              <w:br/>
              <w:t xml:space="preserve"> II </w:t>
            </w:r>
          </w:p>
        </w:tc>
        <w:tc>
          <w:tcPr>
            <w:tcW w:w="1418" w:type="dxa"/>
            <w:tcBorders>
              <w:top w:val="single" w:sz="8"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WARIANT</w:t>
              <w:br/>
              <w:t xml:space="preserve"> III</w:t>
            </w:r>
          </w:p>
        </w:tc>
        <w:tc>
          <w:tcPr>
            <w:tcW w:w="1278" w:type="dxa"/>
            <w:tcBorders>
              <w:top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 xml:space="preserve">WARIANT </w:t>
              <w:br/>
              <w:t>IV</w:t>
            </w:r>
          </w:p>
        </w:tc>
      </w:tr>
      <w:tr>
        <w:trPr>
          <w:trHeight w:val="432" w:hRule="atLeast"/>
        </w:trPr>
        <w:tc>
          <w:tcPr>
            <w:tcW w:w="3391"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SUMA UBEZPIECZENIA</w:t>
            </w:r>
          </w:p>
        </w:tc>
        <w:tc>
          <w:tcPr>
            <w:tcW w:w="141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15 000</w:t>
            </w:r>
          </w:p>
        </w:tc>
        <w:tc>
          <w:tcPr>
            <w:tcW w:w="141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20 000</w:t>
            </w:r>
          </w:p>
        </w:tc>
        <w:tc>
          <w:tcPr>
            <w:tcW w:w="141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25 000</w:t>
            </w:r>
          </w:p>
        </w:tc>
        <w:tc>
          <w:tcPr>
            <w:tcW w:w="12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30 000</w:t>
            </w:r>
          </w:p>
        </w:tc>
      </w:tr>
      <w:tr>
        <w:trPr>
          <w:trHeight w:val="432" w:hRule="atLeast"/>
        </w:trPr>
        <w:tc>
          <w:tcPr>
            <w:tcW w:w="3391" w:type="dxa"/>
            <w:tcBorders>
              <w:top w:val="single" w:sz="4"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r>
          </w:p>
        </w:tc>
        <w:tc>
          <w:tcPr>
            <w:tcW w:w="5530" w:type="dxa"/>
            <w:gridSpan w:val="4"/>
            <w:tcBorders>
              <w:top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Wartość świadczeń wyrażona w polskich złotych</w:t>
            </w:r>
          </w:p>
        </w:tc>
      </w:tr>
      <w:tr>
        <w:trPr>
          <w:trHeight w:val="1344" w:hRule="atLeast"/>
        </w:trPr>
        <w:tc>
          <w:tcPr>
            <w:tcW w:w="339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 xml:space="preserve">Pobyt w szpitalu w wyniku NW </w:t>
            </w:r>
          </w:p>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(świadczenie przysługuje od 1 dnia pobytu w szpitalu pod warunkiem pobytu trwającego minimum 2 dni. Świadczenie przysługuje za maksymalnie  180 dni):</w:t>
            </w:r>
          </w:p>
        </w:tc>
        <w:tc>
          <w:tcPr>
            <w:tcW w:w="141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35 zł za dzień pobytu w szpitalu</w:t>
            </w:r>
          </w:p>
        </w:tc>
        <w:tc>
          <w:tcPr>
            <w:tcW w:w="141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40 zł za dzień pobytu w szpitalu</w:t>
            </w:r>
          </w:p>
        </w:tc>
        <w:tc>
          <w:tcPr>
            <w:tcW w:w="141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45 zł za dzień pobytu w szpitalu</w:t>
            </w:r>
          </w:p>
        </w:tc>
        <w:tc>
          <w:tcPr>
            <w:tcW w:w="12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50 zł za dzień pobytu w szpitalu</w:t>
            </w:r>
          </w:p>
        </w:tc>
      </w:tr>
    </w:tbl>
    <w:p>
      <w:pPr>
        <w:pStyle w:val="Wordsection1"/>
        <w:spacing w:beforeAutospacing="0" w:before="0" w:afterAutospacing="0" w:after="0"/>
        <w:rPr>
          <w:rFonts w:ascii="Arial" w:hAnsi="Arial" w:cs="Arial"/>
          <w:color w:val="000000" w:themeColor="text1"/>
          <w:sz w:val="20"/>
          <w:szCs w:val="20"/>
        </w:rPr>
      </w:pPr>
      <w:r>
        <w:rPr>
          <w:rFonts w:cs="Arial" w:ascii="Arial" w:hAnsi="Arial"/>
          <w:color w:val="000000" w:themeColor="text1"/>
          <w:sz w:val="20"/>
          <w:szCs w:val="20"/>
        </w:rPr>
      </w:r>
    </w:p>
    <w:p>
      <w:pPr>
        <w:pStyle w:val="Wordsection1"/>
        <w:spacing w:beforeAutospacing="0" w:before="0" w:afterAutospacing="0" w:after="0"/>
        <w:rPr>
          <w:rFonts w:ascii="Arial" w:hAnsi="Arial" w:cs="Arial"/>
          <w:bCs/>
          <w:color w:val="000000" w:themeColor="text1"/>
          <w:sz w:val="20"/>
          <w:szCs w:val="20"/>
        </w:rPr>
      </w:pPr>
      <w:r>
        <w:rPr>
          <w:rFonts w:cs="Arial" w:ascii="Arial" w:hAnsi="Arial"/>
          <w:color w:val="000000" w:themeColor="text1"/>
          <w:sz w:val="20"/>
          <w:szCs w:val="20"/>
        </w:rPr>
        <w:t>za każdy</w:t>
      </w:r>
      <w:r>
        <w:rPr>
          <w:rFonts w:cs="Arial" w:ascii="Arial" w:hAnsi="Arial"/>
          <w:bCs/>
          <w:color w:val="000000" w:themeColor="text1"/>
          <w:sz w:val="20"/>
          <w:szCs w:val="20"/>
        </w:rPr>
        <w:t xml:space="preserve"> </w:t>
      </w:r>
      <w:r>
        <w:rPr>
          <w:rFonts w:cs="Arial" w:ascii="Arial" w:hAnsi="Arial"/>
          <w:color w:val="000000" w:themeColor="text1"/>
          <w:sz w:val="20"/>
          <w:szCs w:val="20"/>
        </w:rPr>
        <w:t>dzień pobytu Ubezpieczonego w szpitalu, począwszy od pierwszego dnia pobytu</w:t>
      </w:r>
      <w:r>
        <w:rPr>
          <w:rFonts w:cs="Arial" w:ascii="Arial" w:hAnsi="Arial"/>
          <w:bCs/>
          <w:color w:val="000000" w:themeColor="text1"/>
          <w:sz w:val="20"/>
          <w:szCs w:val="20"/>
        </w:rPr>
        <w:t xml:space="preserve"> </w:t>
      </w:r>
      <w:r>
        <w:rPr>
          <w:rFonts w:cs="Arial" w:ascii="Arial" w:hAnsi="Arial"/>
          <w:color w:val="000000" w:themeColor="text1"/>
          <w:sz w:val="20"/>
          <w:szCs w:val="20"/>
        </w:rPr>
        <w:t>w szpitalu,  pod warunkiem minimum 2 dniowego pobytu Ubezpieczonego w szpitalu,  będącego następstwem nieszczęśliwego wypadku który miał miejsce</w:t>
      </w:r>
      <w:r>
        <w:rPr>
          <w:rFonts w:cs="Arial" w:ascii="Arial" w:hAnsi="Arial"/>
          <w:bCs/>
          <w:color w:val="000000" w:themeColor="text1"/>
          <w:sz w:val="20"/>
          <w:szCs w:val="20"/>
        </w:rPr>
        <w:t xml:space="preserve"> </w:t>
      </w:r>
      <w:r>
        <w:rPr>
          <w:rFonts w:cs="Arial" w:ascii="Arial" w:hAnsi="Arial"/>
          <w:color w:val="000000" w:themeColor="text1"/>
          <w:sz w:val="20"/>
          <w:szCs w:val="20"/>
        </w:rPr>
        <w:t>w okresie trwania ochrony ubezpieczeniowej. W przypadku kolejnych, następujących</w:t>
      </w:r>
      <w:r>
        <w:rPr>
          <w:rFonts w:cs="Arial" w:ascii="Arial" w:hAnsi="Arial"/>
          <w:bCs/>
          <w:color w:val="000000" w:themeColor="text1"/>
          <w:sz w:val="20"/>
          <w:szCs w:val="20"/>
        </w:rPr>
        <w:t xml:space="preserve"> </w:t>
      </w:r>
      <w:r>
        <w:rPr>
          <w:rFonts w:cs="Arial" w:ascii="Arial" w:hAnsi="Arial"/>
          <w:color w:val="000000" w:themeColor="text1"/>
          <w:sz w:val="20"/>
          <w:szCs w:val="20"/>
        </w:rPr>
        <w:t>po sobie pobytów w szpitalu w związku z tym samym nieszczęśliwym wypadkiem</w:t>
      </w:r>
      <w:r>
        <w:rPr>
          <w:rFonts w:cs="Arial" w:ascii="Arial" w:hAnsi="Arial"/>
          <w:bCs/>
          <w:color w:val="000000" w:themeColor="text1"/>
          <w:sz w:val="20"/>
          <w:szCs w:val="20"/>
        </w:rPr>
        <w:t xml:space="preserve"> </w:t>
      </w:r>
      <w:r>
        <w:rPr>
          <w:rFonts w:cs="Arial" w:ascii="Arial" w:hAnsi="Arial"/>
          <w:color w:val="000000" w:themeColor="text1"/>
          <w:sz w:val="20"/>
          <w:szCs w:val="20"/>
        </w:rPr>
        <w:t>świadczenie szpitalne przysługuje od pierwszego dnia pobytu w szpitalu.</w:t>
      </w:r>
      <w:r>
        <w:rPr>
          <w:rFonts w:cs="Arial" w:ascii="Arial" w:hAnsi="Arial"/>
          <w:bCs/>
          <w:color w:val="000000" w:themeColor="text1"/>
          <w:sz w:val="20"/>
          <w:szCs w:val="20"/>
        </w:rPr>
        <w:t xml:space="preserve"> </w:t>
      </w:r>
      <w:r>
        <w:rPr>
          <w:rFonts w:cs="Arial" w:ascii="Arial" w:hAnsi="Arial"/>
          <w:color w:val="000000" w:themeColor="text1"/>
          <w:sz w:val="20"/>
          <w:szCs w:val="20"/>
        </w:rPr>
        <w:t>Świadczenie z tytułu pobytu w szpitalu w wyniku nieszczęśliwego wypadku przysługuje</w:t>
      </w:r>
      <w:r>
        <w:rPr>
          <w:rFonts w:cs="Arial" w:ascii="Arial" w:hAnsi="Arial"/>
          <w:bCs/>
          <w:color w:val="000000" w:themeColor="text1"/>
          <w:sz w:val="20"/>
          <w:szCs w:val="20"/>
        </w:rPr>
        <w:t xml:space="preserve"> </w:t>
      </w:r>
      <w:r>
        <w:rPr>
          <w:rFonts w:cs="Arial" w:ascii="Arial" w:hAnsi="Arial"/>
          <w:color w:val="000000" w:themeColor="text1"/>
          <w:sz w:val="20"/>
          <w:szCs w:val="20"/>
        </w:rPr>
        <w:t>maksymalnie za 180 dni pobytu Ubezpieczonego w szpitalu. Gdy wypis ze</w:t>
      </w:r>
      <w:r>
        <w:rPr>
          <w:rFonts w:cs="Arial" w:ascii="Arial" w:hAnsi="Arial"/>
          <w:bCs/>
          <w:color w:val="000000" w:themeColor="text1"/>
          <w:sz w:val="20"/>
          <w:szCs w:val="20"/>
        </w:rPr>
        <w:t xml:space="preserve"> </w:t>
      </w:r>
      <w:r>
        <w:rPr>
          <w:rFonts w:cs="Arial" w:ascii="Arial" w:hAnsi="Arial"/>
          <w:color w:val="000000" w:themeColor="text1"/>
          <w:sz w:val="20"/>
          <w:szCs w:val="20"/>
        </w:rPr>
        <w:t>szpitala nastąpi po zakończeniu okresu ubezpieczenia pobyt w szpitalu jest objęty</w:t>
      </w:r>
      <w:r>
        <w:rPr>
          <w:rFonts w:cs="Arial" w:ascii="Arial" w:hAnsi="Arial"/>
          <w:bCs/>
          <w:color w:val="000000" w:themeColor="text1"/>
          <w:sz w:val="20"/>
          <w:szCs w:val="20"/>
        </w:rPr>
        <w:t xml:space="preserve"> </w:t>
      </w:r>
      <w:r>
        <w:rPr>
          <w:rFonts w:cs="Arial" w:ascii="Arial" w:hAnsi="Arial"/>
          <w:color w:val="000000" w:themeColor="text1"/>
          <w:sz w:val="20"/>
          <w:szCs w:val="20"/>
        </w:rPr>
        <w:t>odpowiedzialnością Ubezpieczyciela, pod warunkiem, że przyjęcie do szpitala nastąpiło w okresie ubezpieczenia;”</w:t>
      </w:r>
    </w:p>
    <w:p>
      <w:pPr>
        <w:pStyle w:val="Wordsection1"/>
        <w:spacing w:beforeAutospacing="0" w:before="0" w:afterAutospacing="0" w:after="0"/>
        <w:jc w:val="both"/>
        <w:rPr>
          <w:rFonts w:ascii="Arial" w:hAnsi="Arial" w:cs="Arial"/>
          <w:bCs/>
          <w:color w:val="000000" w:themeColor="text1"/>
          <w:sz w:val="20"/>
          <w:szCs w:val="20"/>
        </w:rPr>
      </w:pPr>
      <w:r>
        <w:rPr>
          <w:rFonts w:cs="Arial" w:ascii="Arial" w:hAnsi="Arial"/>
          <w:bCs/>
          <w:color w:val="000000" w:themeColor="text1"/>
          <w:sz w:val="20"/>
          <w:szCs w:val="20"/>
        </w:rPr>
      </w:r>
    </w:p>
    <w:p>
      <w:pPr>
        <w:pStyle w:val="Wordsection1"/>
        <w:spacing w:beforeAutospacing="0" w:before="0" w:afterAutospacing="0" w:after="0"/>
        <w:jc w:val="both"/>
        <w:rPr>
          <w:rFonts w:ascii="Arial" w:hAnsi="Arial" w:cs="Arial"/>
          <w:bCs/>
          <w:color w:val="000000" w:themeColor="text1"/>
          <w:sz w:val="20"/>
          <w:szCs w:val="20"/>
        </w:rPr>
      </w:pPr>
      <w:r>
        <w:rPr>
          <w:rFonts w:cs="Arial" w:ascii="Arial" w:hAnsi="Arial"/>
          <w:bCs/>
          <w:color w:val="000000" w:themeColor="text1"/>
          <w:sz w:val="20"/>
          <w:szCs w:val="20"/>
        </w:rPr>
      </w:r>
    </w:p>
    <w:p>
      <w:pPr>
        <w:pStyle w:val="Wordsection1"/>
        <w:numPr>
          <w:ilvl w:val="0"/>
          <w:numId w:val="1"/>
        </w:numPr>
        <w:spacing w:beforeAutospacing="0" w:before="0" w:afterAutospacing="0" w:after="0"/>
        <w:jc w:val="both"/>
        <w:rPr>
          <w:rFonts w:ascii="Arial" w:hAnsi="Arial" w:cs="Arial"/>
          <w:bCs/>
          <w:color w:val="000000" w:themeColor="text1"/>
          <w:sz w:val="20"/>
          <w:szCs w:val="20"/>
        </w:rPr>
      </w:pPr>
      <w:r>
        <w:rPr>
          <w:rFonts w:cs="Arial" w:ascii="Arial" w:hAnsi="Arial"/>
          <w:color w:val="000000" w:themeColor="text1"/>
          <w:sz w:val="20"/>
          <w:szCs w:val="20"/>
        </w:rPr>
        <w:t>§ 11 ust. 1 pkt. 5) otrzymuje brzmienie:</w:t>
      </w:r>
      <w:bookmarkStart w:id="5" w:name="_Hlk7993744"/>
      <w:bookmarkEnd w:id="5"/>
    </w:p>
    <w:p>
      <w:pPr>
        <w:pStyle w:val="Wordsection1"/>
        <w:spacing w:beforeAutospacing="0" w:before="0" w:afterAutospacing="0" w:after="0"/>
        <w:rPr>
          <w:rFonts w:ascii="Arial" w:hAnsi="Arial" w:cs="Arial"/>
          <w:color w:val="000000" w:themeColor="text1"/>
          <w:sz w:val="20"/>
          <w:szCs w:val="20"/>
        </w:rPr>
      </w:pPr>
      <w:r>
        <w:rPr>
          <w:rFonts w:cs="Arial" w:ascii="Arial" w:hAnsi="Arial"/>
          <w:color w:val="000000" w:themeColor="text1"/>
          <w:sz w:val="20"/>
          <w:szCs w:val="20"/>
        </w:rPr>
        <w:t>„</w:t>
      </w:r>
      <w:r>
        <w:rPr>
          <w:rFonts w:cs="Arial" w:ascii="Arial" w:hAnsi="Arial"/>
          <w:color w:val="000000" w:themeColor="text1"/>
          <w:sz w:val="20"/>
          <w:szCs w:val="20"/>
        </w:rPr>
        <w:t xml:space="preserve">§ 11 ust. 1 pkt. 5 </w:t>
      </w:r>
      <w:r>
        <w:rPr>
          <w:rFonts w:cs="Arial" w:ascii="Arial" w:hAnsi="Arial"/>
          <w:bCs/>
          <w:color w:val="000000" w:themeColor="text1"/>
          <w:sz w:val="20"/>
          <w:szCs w:val="20"/>
        </w:rPr>
        <w:t xml:space="preserve">Opcja Dodatkowa D5 – pobyt w szpitalu w okresie ubezpieczenia w wyniku choroby </w:t>
      </w:r>
      <w:r>
        <w:rPr>
          <w:rFonts w:cs="Arial" w:ascii="Arial" w:hAnsi="Arial"/>
          <w:color w:val="000000" w:themeColor="text1"/>
          <w:sz w:val="20"/>
          <w:szCs w:val="20"/>
        </w:rPr>
        <w:t>– świadczenie w wysokości określonej w Tabeli E wg wybranego wariantu ubezpieczenia</w:t>
      </w:r>
    </w:p>
    <w:p>
      <w:pPr>
        <w:pStyle w:val="Wordsection1"/>
        <w:spacing w:beforeAutospacing="0" w:before="0" w:afterAutospacing="0" w:after="0"/>
        <w:rPr>
          <w:rFonts w:ascii="Arial" w:hAnsi="Arial" w:cs="Arial"/>
          <w:color w:val="000000" w:themeColor="text1"/>
          <w:sz w:val="20"/>
          <w:szCs w:val="20"/>
        </w:rPr>
      </w:pPr>
      <w:r>
        <w:rPr>
          <w:rFonts w:cs="Arial" w:ascii="Arial" w:hAnsi="Arial"/>
          <w:color w:val="000000" w:themeColor="text1"/>
          <w:sz w:val="20"/>
          <w:szCs w:val="20"/>
        </w:rPr>
      </w:r>
    </w:p>
    <w:p>
      <w:pPr>
        <w:pStyle w:val="Wordsection1"/>
        <w:spacing w:beforeAutospacing="0" w:before="0" w:afterAutospacing="0" w:after="0"/>
        <w:rPr>
          <w:rFonts w:ascii="Arial" w:hAnsi="Arial" w:cs="Arial"/>
          <w:color w:val="000000" w:themeColor="text1"/>
          <w:sz w:val="20"/>
          <w:szCs w:val="20"/>
        </w:rPr>
      </w:pPr>
      <w:r>
        <w:rPr>
          <w:rFonts w:cs="Arial" w:ascii="Arial" w:hAnsi="Arial"/>
          <w:color w:val="000000" w:themeColor="text1"/>
          <w:sz w:val="20"/>
          <w:szCs w:val="20"/>
        </w:rPr>
        <w:t>Tabela E</w:t>
      </w:r>
    </w:p>
    <w:tbl>
      <w:tblPr>
        <w:tblW w:w="8921" w:type="dxa"/>
        <w:jc w:val="left"/>
        <w:tblInd w:w="0"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CellMar>
          <w:top w:w="0" w:type="dxa"/>
          <w:left w:w="70" w:type="dxa"/>
          <w:bottom w:w="0" w:type="dxa"/>
          <w:right w:w="70" w:type="dxa"/>
        </w:tblCellMar>
        <w:tblLook w:firstRow="1" w:noVBand="1" w:lastRow="0" w:firstColumn="1" w:lastColumn="0" w:noHBand="0" w:val="04a0"/>
      </w:tblPr>
      <w:tblGrid>
        <w:gridCol w:w="3391"/>
        <w:gridCol w:w="1418"/>
        <w:gridCol w:w="1416"/>
        <w:gridCol w:w="1418"/>
        <w:gridCol w:w="1278"/>
      </w:tblGrid>
      <w:tr>
        <w:trPr>
          <w:trHeight w:val="636" w:hRule="atLeast"/>
        </w:trPr>
        <w:tc>
          <w:tcPr>
            <w:tcW w:w="3391"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Rodzaj Świadczenia</w:t>
            </w:r>
          </w:p>
        </w:tc>
        <w:tc>
          <w:tcPr>
            <w:tcW w:w="1418" w:type="dxa"/>
            <w:tcBorders>
              <w:top w:val="single" w:sz="8"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WARIANT</w:t>
              <w:br/>
              <w:t xml:space="preserve">I </w:t>
            </w:r>
          </w:p>
        </w:tc>
        <w:tc>
          <w:tcPr>
            <w:tcW w:w="1416" w:type="dxa"/>
            <w:tcBorders>
              <w:top w:val="single" w:sz="8"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WARIANT</w:t>
              <w:br/>
              <w:t xml:space="preserve"> II </w:t>
            </w:r>
          </w:p>
        </w:tc>
        <w:tc>
          <w:tcPr>
            <w:tcW w:w="1418" w:type="dxa"/>
            <w:tcBorders>
              <w:top w:val="single" w:sz="8"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WARIANT</w:t>
              <w:br/>
              <w:t xml:space="preserve"> III</w:t>
            </w:r>
          </w:p>
        </w:tc>
        <w:tc>
          <w:tcPr>
            <w:tcW w:w="1278" w:type="dxa"/>
            <w:tcBorders>
              <w:top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 xml:space="preserve">WARIANT </w:t>
              <w:br/>
              <w:t>IV</w:t>
            </w:r>
          </w:p>
        </w:tc>
      </w:tr>
      <w:tr>
        <w:trPr>
          <w:trHeight w:val="432" w:hRule="atLeast"/>
        </w:trPr>
        <w:tc>
          <w:tcPr>
            <w:tcW w:w="3391"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SUMA UBEZPIECZENIA</w:t>
            </w:r>
          </w:p>
        </w:tc>
        <w:tc>
          <w:tcPr>
            <w:tcW w:w="141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15 000</w:t>
            </w:r>
          </w:p>
        </w:tc>
        <w:tc>
          <w:tcPr>
            <w:tcW w:w="141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20 000</w:t>
            </w:r>
          </w:p>
        </w:tc>
        <w:tc>
          <w:tcPr>
            <w:tcW w:w="141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25 000</w:t>
            </w:r>
          </w:p>
        </w:tc>
        <w:tc>
          <w:tcPr>
            <w:tcW w:w="12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30 000</w:t>
            </w:r>
          </w:p>
        </w:tc>
      </w:tr>
      <w:tr>
        <w:trPr>
          <w:trHeight w:val="432" w:hRule="atLeast"/>
        </w:trPr>
        <w:tc>
          <w:tcPr>
            <w:tcW w:w="3391" w:type="dxa"/>
            <w:tcBorders>
              <w:top w:val="single" w:sz="4"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r>
          </w:p>
        </w:tc>
        <w:tc>
          <w:tcPr>
            <w:tcW w:w="5530" w:type="dxa"/>
            <w:gridSpan w:val="4"/>
            <w:tcBorders>
              <w:top w:val="single" w:sz="4" w:space="0" w:color="000000"/>
              <w:right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Wartość świadczeń wyrażona w polskich złotych</w:t>
            </w:r>
          </w:p>
        </w:tc>
      </w:tr>
      <w:tr>
        <w:trPr>
          <w:trHeight w:val="1344" w:hRule="atLeast"/>
        </w:trPr>
        <w:tc>
          <w:tcPr>
            <w:tcW w:w="339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Pobyt w szpitalu w wyniku choroby</w:t>
            </w:r>
          </w:p>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(świadczenie przysługuje od 2 dnia pobytu w szpitalu pod warunkiem pobytu trwającego minimum 3 dni. Świadczenie przysługuje za maksymalnie  60 dni).</w:t>
            </w:r>
          </w:p>
        </w:tc>
        <w:tc>
          <w:tcPr>
            <w:tcW w:w="141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35 zł za dzień pobytu w szpitalu</w:t>
            </w:r>
          </w:p>
        </w:tc>
        <w:tc>
          <w:tcPr>
            <w:tcW w:w="141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40 zł za dzień pobytu w szpitalu</w:t>
            </w:r>
          </w:p>
        </w:tc>
        <w:tc>
          <w:tcPr>
            <w:tcW w:w="141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45 zł za dzień pobytu w szpitalu</w:t>
            </w:r>
          </w:p>
        </w:tc>
        <w:tc>
          <w:tcPr>
            <w:tcW w:w="127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50 zł za dzień pobytu w szpitalu</w:t>
            </w:r>
          </w:p>
        </w:tc>
      </w:tr>
    </w:tbl>
    <w:p>
      <w:pPr>
        <w:pStyle w:val="Wordsection1"/>
        <w:spacing w:beforeAutospacing="0" w:before="0" w:afterAutospacing="0" w:after="0"/>
        <w:rPr>
          <w:rFonts w:ascii="Arial" w:hAnsi="Arial" w:cs="Arial"/>
          <w:color w:val="000000" w:themeColor="text1"/>
          <w:sz w:val="20"/>
          <w:szCs w:val="20"/>
        </w:rPr>
      </w:pPr>
      <w:r>
        <w:rPr>
          <w:rFonts w:cs="Arial" w:ascii="Arial" w:hAnsi="Arial"/>
          <w:color w:val="000000" w:themeColor="text1"/>
          <w:sz w:val="20"/>
          <w:szCs w:val="20"/>
        </w:rPr>
      </w:r>
    </w:p>
    <w:p>
      <w:pPr>
        <w:pStyle w:val="Wordsection1"/>
        <w:spacing w:beforeAutospacing="0" w:before="0" w:afterAutospacing="0" w:after="0"/>
        <w:rPr>
          <w:rFonts w:ascii="Arial" w:hAnsi="Arial" w:cs="Arial"/>
          <w:color w:val="000000" w:themeColor="text1"/>
          <w:sz w:val="20"/>
          <w:szCs w:val="20"/>
        </w:rPr>
      </w:pPr>
      <w:r>
        <w:rPr>
          <w:rFonts w:cs="Arial" w:ascii="Arial" w:hAnsi="Arial"/>
          <w:color w:val="000000" w:themeColor="text1"/>
          <w:sz w:val="20"/>
          <w:szCs w:val="20"/>
        </w:rPr>
      </w:r>
    </w:p>
    <w:p>
      <w:pPr>
        <w:pStyle w:val="Wordsection1"/>
        <w:spacing w:beforeAutospacing="0" w:before="0" w:afterAutospacing="0" w:after="0"/>
        <w:rPr>
          <w:rFonts w:ascii="Arial" w:hAnsi="Arial" w:cs="Arial"/>
          <w:color w:val="000000" w:themeColor="text1"/>
          <w:sz w:val="20"/>
          <w:szCs w:val="20"/>
        </w:rPr>
      </w:pPr>
      <w:r>
        <w:rPr>
          <w:rFonts w:cs="Arial" w:ascii="Arial" w:hAnsi="Arial"/>
          <w:color w:val="000000" w:themeColor="text1"/>
          <w:sz w:val="20"/>
          <w:szCs w:val="20"/>
        </w:rPr>
        <w:t>za każdy następny dzień pobytu Ubezpieczonego w szpitalu, począwszy od drugiego dnia pobytu w szpitalu, pod warunkiem 3 dniowego pobytu Ubezpieczonego w szpitalu, w związku z chorobą która została zdiagnozowana w trakcie trwania ochrony ubezpieczeniowej. W przypadku kolejnych, następujących po sobie pobytów w szpitalu w związku z tą samą chorobą świadczenie szpitalne przysługuje od pierwszego dnia pobytu w szpitalu. Świadczenie z tytułu pobytu w szpitalu w wyniku choroby przysługuje maksymalnie za 60 dni pobytu w szpitalu. Gdy wypis ze szpitala nastąpi po zakończeniu okresu ubezpieczenia pobyt w szpitalu jest objęty odpowiedzialnością Ubezpieczyciela, pod warunkiem, że przyjęcie do szpitala nastąpiło w okresie ubezpieczenia;”</w:t>
      </w:r>
    </w:p>
    <w:p>
      <w:pPr>
        <w:pStyle w:val="Wordsection1"/>
        <w:spacing w:beforeAutospacing="0" w:before="0" w:afterAutospacing="0" w:after="0"/>
        <w:rPr>
          <w:rFonts w:ascii="Arial" w:hAnsi="Arial" w:cs="Arial"/>
          <w:color w:val="000000" w:themeColor="text1"/>
          <w:sz w:val="20"/>
          <w:szCs w:val="20"/>
        </w:rPr>
      </w:pPr>
      <w:r>
        <w:rPr>
          <w:rFonts w:cs="Arial" w:ascii="Arial" w:hAnsi="Arial"/>
          <w:color w:val="000000" w:themeColor="text1"/>
          <w:sz w:val="20"/>
          <w:szCs w:val="20"/>
        </w:rPr>
      </w:r>
    </w:p>
    <w:p>
      <w:pPr>
        <w:pStyle w:val="Wordsection1"/>
        <w:numPr>
          <w:ilvl w:val="0"/>
          <w:numId w:val="1"/>
        </w:numPr>
        <w:spacing w:beforeAutospacing="0" w:before="0" w:afterAutospacing="0" w:after="0"/>
        <w:jc w:val="both"/>
        <w:rPr>
          <w:rFonts w:ascii="Arial" w:hAnsi="Arial" w:cs="Arial"/>
          <w:bCs/>
          <w:color w:val="000000" w:themeColor="text1"/>
          <w:sz w:val="20"/>
          <w:szCs w:val="20"/>
        </w:rPr>
      </w:pPr>
      <w:r>
        <w:rPr>
          <w:rFonts w:cs="Arial" w:ascii="Arial" w:hAnsi="Arial"/>
          <w:color w:val="000000" w:themeColor="text1"/>
          <w:sz w:val="20"/>
          <w:szCs w:val="20"/>
        </w:rPr>
        <w:t xml:space="preserve">Skreśla się § 11 ust. 1 pkt. 6) </w:t>
      </w:r>
    </w:p>
    <w:p>
      <w:pPr>
        <w:pStyle w:val="Wordsection1"/>
        <w:spacing w:beforeAutospacing="0" w:before="0" w:afterAutospacing="0" w:after="0"/>
        <w:rPr>
          <w:rFonts w:ascii="Arial" w:hAnsi="Arial" w:cs="Arial"/>
          <w:color w:val="000000" w:themeColor="text1"/>
          <w:sz w:val="20"/>
          <w:szCs w:val="20"/>
        </w:rPr>
      </w:pPr>
      <w:r>
        <w:rPr>
          <w:rFonts w:cs="Arial" w:ascii="Arial" w:hAnsi="Arial"/>
          <w:color w:val="000000" w:themeColor="text1"/>
          <w:sz w:val="20"/>
          <w:szCs w:val="20"/>
        </w:rPr>
      </w:r>
    </w:p>
    <w:p>
      <w:pPr>
        <w:pStyle w:val="Wordsection1"/>
        <w:numPr>
          <w:ilvl w:val="0"/>
          <w:numId w:val="1"/>
        </w:numPr>
        <w:spacing w:beforeAutospacing="0" w:before="0" w:afterAutospacing="0" w:after="0"/>
        <w:jc w:val="both"/>
        <w:rPr>
          <w:rFonts w:ascii="Arial" w:hAnsi="Arial" w:cs="Arial"/>
          <w:bCs/>
          <w:color w:val="000000" w:themeColor="text1"/>
          <w:sz w:val="20"/>
          <w:szCs w:val="20"/>
        </w:rPr>
      </w:pPr>
      <w:r>
        <w:rPr>
          <w:rFonts w:cs="Arial" w:ascii="Arial" w:hAnsi="Arial"/>
          <w:color w:val="000000" w:themeColor="text1"/>
          <w:sz w:val="20"/>
          <w:szCs w:val="20"/>
        </w:rPr>
        <w:t>§ 11 ust. 1 pkt. 10) otrzymuje brzmienie:</w:t>
      </w:r>
    </w:p>
    <w:p>
      <w:pPr>
        <w:pStyle w:val="Wordsection1"/>
        <w:spacing w:beforeAutospacing="0" w:before="0" w:afterAutospacing="0" w:after="0"/>
        <w:ind w:left="720" w:hanging="0"/>
        <w:rPr>
          <w:rFonts w:ascii="Arial" w:hAnsi="Arial" w:cs="Arial"/>
          <w:color w:val="000000" w:themeColor="text1"/>
          <w:sz w:val="20"/>
          <w:szCs w:val="20"/>
        </w:rPr>
      </w:pPr>
      <w:r>
        <w:rPr>
          <w:rFonts w:cs="Arial" w:ascii="Arial" w:hAnsi="Arial"/>
          <w:bCs/>
          <w:color w:val="000000" w:themeColor="text1"/>
          <w:sz w:val="20"/>
          <w:szCs w:val="20"/>
        </w:rPr>
        <w:t>„</w:t>
      </w:r>
      <w:r>
        <w:rPr>
          <w:rFonts w:cs="Arial" w:ascii="Arial" w:hAnsi="Arial"/>
          <w:color w:val="000000" w:themeColor="text1"/>
          <w:sz w:val="20"/>
          <w:szCs w:val="20"/>
        </w:rPr>
        <w:t xml:space="preserve">10) Opcja Dodatkowa D10-  koszty leczenia w wyniku nieszczęśliwego wypadku - zwrot udokumentowanych kosztów do wysokości wskazanej w Tabeli F, wg wybranego wariantu ubezpieczenia, </w:t>
      </w:r>
    </w:p>
    <w:p>
      <w:pPr>
        <w:pStyle w:val="Wordsection1"/>
        <w:spacing w:beforeAutospacing="0" w:before="0" w:afterAutospacing="0" w:after="0"/>
        <w:ind w:left="720" w:hanging="0"/>
        <w:rPr>
          <w:rFonts w:ascii="Arial" w:hAnsi="Arial" w:cs="Arial"/>
          <w:color w:val="000000" w:themeColor="text1"/>
          <w:sz w:val="20"/>
          <w:szCs w:val="20"/>
        </w:rPr>
      </w:pPr>
      <w:r>
        <w:rPr>
          <w:rFonts w:cs="Arial" w:ascii="Arial" w:hAnsi="Arial"/>
          <w:color w:val="000000" w:themeColor="text1"/>
          <w:sz w:val="20"/>
          <w:szCs w:val="20"/>
        </w:rPr>
      </w:r>
    </w:p>
    <w:p>
      <w:pPr>
        <w:pStyle w:val="Wordsection1"/>
        <w:spacing w:beforeAutospacing="0" w:before="0" w:afterAutospacing="0" w:after="0"/>
        <w:ind w:left="720" w:hanging="0"/>
        <w:rPr>
          <w:rFonts w:ascii="Arial" w:hAnsi="Arial" w:cs="Arial"/>
          <w:color w:val="000000" w:themeColor="text1"/>
          <w:sz w:val="20"/>
          <w:szCs w:val="20"/>
        </w:rPr>
      </w:pPr>
      <w:r>
        <w:rPr>
          <w:rFonts w:cs="Arial" w:ascii="Arial" w:hAnsi="Arial"/>
          <w:color w:val="000000" w:themeColor="text1"/>
          <w:sz w:val="20"/>
          <w:szCs w:val="20"/>
        </w:rPr>
        <w:t>Tabela F</w:t>
      </w:r>
    </w:p>
    <w:tbl>
      <w:tblPr>
        <w:tblW w:w="8921"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70" w:type="dxa"/>
          <w:bottom w:w="0" w:type="dxa"/>
          <w:right w:w="70" w:type="dxa"/>
        </w:tblCellMar>
        <w:tblLook w:firstRow="1" w:noVBand="1" w:lastRow="0" w:firstColumn="1" w:lastColumn="0" w:noHBand="0" w:val="04a0"/>
      </w:tblPr>
      <w:tblGrid>
        <w:gridCol w:w="3124"/>
        <w:gridCol w:w="1398"/>
        <w:gridCol w:w="1400"/>
        <w:gridCol w:w="1208"/>
        <w:gridCol w:w="1791"/>
      </w:tblGrid>
      <w:tr>
        <w:trPr>
          <w:trHeight w:val="636" w:hRule="atLeast"/>
        </w:trPr>
        <w:tc>
          <w:tcPr>
            <w:tcW w:w="312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Rodzaj Świadczenia</w:t>
            </w:r>
          </w:p>
        </w:tc>
        <w:tc>
          <w:tcPr>
            <w:tcW w:w="1398" w:type="dxa"/>
            <w:tcBorders>
              <w:top w:val="single" w:sz="8" w:space="0" w:color="000000"/>
              <w:bottom w:val="single" w:sz="8" w:space="0" w:color="000000"/>
              <w:insideH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WARIANT</w:t>
              <w:br/>
              <w:t xml:space="preserve">I </w:t>
            </w:r>
          </w:p>
        </w:tc>
        <w:tc>
          <w:tcPr>
            <w:tcW w:w="1400" w:type="dxa"/>
            <w:tcBorders>
              <w:top w:val="single" w:sz="8" w:space="0" w:color="000000"/>
              <w:bottom w:val="single" w:sz="8" w:space="0" w:color="000000"/>
              <w:insideH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WARIANT</w:t>
              <w:br/>
              <w:t xml:space="preserve"> II </w:t>
            </w:r>
          </w:p>
        </w:tc>
        <w:tc>
          <w:tcPr>
            <w:tcW w:w="1208" w:type="dxa"/>
            <w:tcBorders>
              <w:top w:val="single" w:sz="8" w:space="0" w:color="000000"/>
              <w:bottom w:val="single" w:sz="8" w:space="0" w:color="000000"/>
              <w:insideH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WARIANT</w:t>
              <w:br/>
              <w:t xml:space="preserve"> III</w:t>
            </w:r>
          </w:p>
        </w:tc>
        <w:tc>
          <w:tcPr>
            <w:tcW w:w="1791"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 xml:space="preserve">WARIANT </w:t>
              <w:br/>
              <w:t>IV</w:t>
            </w:r>
          </w:p>
        </w:tc>
      </w:tr>
      <w:tr>
        <w:trPr>
          <w:trHeight w:val="432" w:hRule="atLeast"/>
        </w:trPr>
        <w:tc>
          <w:tcPr>
            <w:tcW w:w="3124" w:type="dxa"/>
            <w:tcBorders>
              <w:left w:val="single" w:sz="4"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SUMA UBEZPIECZENIA</w:t>
            </w:r>
          </w:p>
        </w:tc>
        <w:tc>
          <w:tcPr>
            <w:tcW w:w="1398"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15 000</w:t>
            </w:r>
          </w:p>
        </w:tc>
        <w:tc>
          <w:tcPr>
            <w:tcW w:w="1400"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20 000</w:t>
            </w:r>
          </w:p>
        </w:tc>
        <w:tc>
          <w:tcPr>
            <w:tcW w:w="1208"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25 000</w:t>
            </w:r>
          </w:p>
        </w:tc>
        <w:tc>
          <w:tcPr>
            <w:tcW w:w="1791"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30 000</w:t>
            </w:r>
          </w:p>
        </w:tc>
      </w:tr>
      <w:tr>
        <w:trPr>
          <w:trHeight w:val="144" w:hRule="atLeast"/>
        </w:trPr>
        <w:tc>
          <w:tcPr>
            <w:tcW w:w="3124" w:type="dxa"/>
            <w:tcBorders>
              <w:left w:val="single" w:sz="4"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r>
          </w:p>
        </w:tc>
        <w:tc>
          <w:tcPr>
            <w:tcW w:w="5797" w:type="dxa"/>
            <w:gridSpan w:val="4"/>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Wartość świadczeń wyrażona w polskich złotych</w:t>
            </w:r>
          </w:p>
        </w:tc>
      </w:tr>
      <w:tr>
        <w:trPr>
          <w:trHeight w:val="1268" w:hRule="atLeast"/>
        </w:trPr>
        <w:tc>
          <w:tcPr>
            <w:tcW w:w="312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 xml:space="preserve">Zwrot kosztów leczenia w wyniku NW </w:t>
            </w:r>
          </w:p>
        </w:tc>
        <w:tc>
          <w:tcPr>
            <w:tcW w:w="139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2200</w:t>
            </w:r>
          </w:p>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 xml:space="preserve"> </w:t>
            </w:r>
            <w:r>
              <w:rPr>
                <w:rFonts w:eastAsia="Times New Roman" w:cs="Arial" w:ascii="Arial" w:hAnsi="Arial"/>
                <w:bCs/>
                <w:color w:val="000000" w:themeColor="text1"/>
                <w:sz w:val="20"/>
                <w:szCs w:val="20"/>
                <w:lang w:eastAsia="pl-PL"/>
              </w:rPr>
              <w:t>podlimit na rehabilitację</w:t>
            </w:r>
          </w:p>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500  zł</w:t>
            </w:r>
          </w:p>
        </w:tc>
        <w:tc>
          <w:tcPr>
            <w:tcW w:w="140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3000</w:t>
            </w:r>
          </w:p>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podlimit na rehabilitację</w:t>
            </w:r>
          </w:p>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500 zł</w:t>
            </w:r>
          </w:p>
        </w:tc>
        <w:tc>
          <w:tcPr>
            <w:tcW w:w="120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3500</w:t>
            </w:r>
          </w:p>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podlimit na rehabilitację</w:t>
            </w:r>
          </w:p>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500 zł</w:t>
            </w:r>
          </w:p>
        </w:tc>
        <w:tc>
          <w:tcPr>
            <w:tcW w:w="179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4000</w:t>
            </w:r>
          </w:p>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podlimit na rehabilitację</w:t>
            </w:r>
          </w:p>
          <w:p>
            <w:pPr>
              <w:pStyle w:val="Normal"/>
              <w:spacing w:lineRule="auto" w:line="240" w:before="0" w:after="0"/>
              <w:jc w:val="center"/>
              <w:rPr>
                <w:rFonts w:ascii="Arial" w:hAnsi="Arial" w:eastAsia="Times New Roman" w:cs="Arial"/>
                <w:bCs/>
                <w:color w:val="000000" w:themeColor="text1"/>
                <w:sz w:val="20"/>
                <w:szCs w:val="20"/>
                <w:lang w:eastAsia="pl-PL"/>
              </w:rPr>
            </w:pPr>
            <w:r>
              <w:rPr>
                <w:rFonts w:eastAsia="Times New Roman" w:cs="Arial" w:ascii="Arial" w:hAnsi="Arial"/>
                <w:bCs/>
                <w:color w:val="000000" w:themeColor="text1"/>
                <w:sz w:val="20"/>
                <w:szCs w:val="20"/>
                <w:lang w:eastAsia="pl-PL"/>
              </w:rPr>
              <w:t>500 zł</w:t>
            </w:r>
          </w:p>
        </w:tc>
      </w:tr>
    </w:tbl>
    <w:p>
      <w:pPr>
        <w:pStyle w:val="Wordsection1"/>
        <w:spacing w:beforeAutospacing="0" w:before="0" w:afterAutospacing="0" w:after="0"/>
        <w:ind w:left="720" w:hanging="0"/>
        <w:rPr>
          <w:rFonts w:ascii="Arial" w:hAnsi="Arial" w:cs="Arial"/>
          <w:color w:val="000000" w:themeColor="text1"/>
          <w:sz w:val="20"/>
          <w:szCs w:val="20"/>
        </w:rPr>
      </w:pPr>
      <w:r>
        <w:rPr>
          <w:rFonts w:cs="Arial" w:ascii="Arial" w:hAnsi="Arial"/>
          <w:color w:val="000000" w:themeColor="text1"/>
          <w:sz w:val="20"/>
          <w:szCs w:val="20"/>
        </w:rPr>
      </w:r>
    </w:p>
    <w:p>
      <w:pPr>
        <w:pStyle w:val="Wordsection1"/>
        <w:spacing w:beforeAutospacing="0" w:before="0" w:afterAutospacing="0" w:after="0"/>
        <w:ind w:left="720" w:hanging="0"/>
        <w:rPr>
          <w:rFonts w:ascii="Arial" w:hAnsi="Arial" w:cs="Arial"/>
          <w:color w:val="000000" w:themeColor="text1"/>
          <w:sz w:val="20"/>
          <w:szCs w:val="20"/>
        </w:rPr>
      </w:pPr>
      <w:r>
        <w:rPr>
          <w:rFonts w:cs="Arial" w:ascii="Arial" w:hAnsi="Arial"/>
          <w:color w:val="000000" w:themeColor="text1"/>
          <w:sz w:val="20"/>
          <w:szCs w:val="20"/>
        </w:rPr>
        <w:t>a w przypadku kosztów rehabilitacji nie więcej niż  500 zł pod warunkiem, iż koszty leczenia:</w:t>
      </w:r>
    </w:p>
    <w:p>
      <w:pPr>
        <w:pStyle w:val="Wordsection1"/>
        <w:numPr>
          <w:ilvl w:val="0"/>
          <w:numId w:val="2"/>
        </w:numPr>
        <w:spacing w:beforeAutospacing="0" w:before="0" w:afterAutospacing="0" w:after="0"/>
        <w:rPr>
          <w:rFonts w:ascii="Arial" w:hAnsi="Arial" w:cs="Arial"/>
          <w:bCs/>
          <w:color w:val="000000" w:themeColor="text1"/>
          <w:sz w:val="20"/>
          <w:szCs w:val="20"/>
        </w:rPr>
      </w:pPr>
      <w:r>
        <w:rPr>
          <w:rFonts w:cs="Arial" w:ascii="Arial" w:hAnsi="Arial"/>
          <w:bCs/>
          <w:color w:val="000000" w:themeColor="text1"/>
          <w:sz w:val="20"/>
          <w:szCs w:val="20"/>
        </w:rPr>
        <w:t>powstały w następstwie nieszczęśliwego wypadku, który wydarzył się podczas trwania ochrony ubezpieczeniowej;</w:t>
      </w:r>
    </w:p>
    <w:p>
      <w:pPr>
        <w:pStyle w:val="Wordsection1"/>
        <w:spacing w:beforeAutospacing="0" w:before="0" w:afterAutospacing="0" w:after="0"/>
        <w:ind w:left="1080" w:hanging="0"/>
        <w:rPr>
          <w:rFonts w:ascii="Arial" w:hAnsi="Arial" w:cs="Arial"/>
          <w:bCs/>
          <w:color w:val="000000" w:themeColor="text1"/>
          <w:sz w:val="20"/>
          <w:szCs w:val="20"/>
        </w:rPr>
      </w:pPr>
      <w:r>
        <w:rPr>
          <w:rFonts w:cs="Arial" w:ascii="Arial" w:hAnsi="Arial"/>
          <w:bCs/>
          <w:color w:val="000000" w:themeColor="text1"/>
          <w:sz w:val="20"/>
          <w:szCs w:val="20"/>
        </w:rPr>
        <w:t>oraz</w:t>
      </w:r>
    </w:p>
    <w:p>
      <w:pPr>
        <w:pStyle w:val="Wordsection1"/>
        <w:numPr>
          <w:ilvl w:val="0"/>
          <w:numId w:val="2"/>
        </w:numPr>
        <w:spacing w:beforeAutospacing="0" w:before="0" w:afterAutospacing="0" w:after="0"/>
        <w:rPr>
          <w:rFonts w:ascii="Arial" w:hAnsi="Arial" w:cs="Arial"/>
          <w:bCs/>
          <w:color w:val="000000" w:themeColor="text1"/>
          <w:sz w:val="20"/>
          <w:szCs w:val="20"/>
        </w:rPr>
      </w:pPr>
      <w:r>
        <w:rPr>
          <w:rFonts w:cs="Arial" w:ascii="Arial" w:hAnsi="Arial"/>
          <w:bCs/>
          <w:color w:val="000000" w:themeColor="text1"/>
          <w:sz w:val="20"/>
          <w:szCs w:val="20"/>
        </w:rPr>
        <w:t>zostały poniesione na terytorium Rzeczpospolitej Polskiej w okresie nie dłuższym niż 12 miesięcy od daty nieszczęśliwego wypadku.”</w:t>
      </w:r>
    </w:p>
    <w:p>
      <w:pPr>
        <w:pStyle w:val="Wordsection1"/>
        <w:spacing w:beforeAutospacing="0" w:before="0" w:afterAutospacing="0" w:after="0"/>
        <w:ind w:left="1080" w:hanging="0"/>
        <w:rPr>
          <w:rFonts w:ascii="Arial" w:hAnsi="Arial" w:cs="Arial"/>
          <w:bCs/>
          <w:color w:val="000000" w:themeColor="text1"/>
          <w:sz w:val="20"/>
          <w:szCs w:val="20"/>
        </w:rPr>
      </w:pPr>
      <w:r>
        <w:rPr>
          <w:rFonts w:cs="Arial" w:ascii="Arial" w:hAnsi="Arial"/>
          <w:bCs/>
          <w:color w:val="000000" w:themeColor="text1"/>
          <w:sz w:val="20"/>
          <w:szCs w:val="20"/>
        </w:rPr>
      </w:r>
    </w:p>
    <w:p>
      <w:pPr>
        <w:pStyle w:val="Wordsection1"/>
        <w:numPr>
          <w:ilvl w:val="0"/>
          <w:numId w:val="1"/>
        </w:numPr>
        <w:spacing w:beforeAutospacing="0" w:before="0" w:afterAutospacing="0" w:after="0"/>
        <w:rPr>
          <w:rFonts w:ascii="Arial" w:hAnsi="Arial" w:cs="Arial"/>
          <w:bCs/>
          <w:color w:val="000000" w:themeColor="text1"/>
          <w:sz w:val="20"/>
          <w:szCs w:val="20"/>
        </w:rPr>
      </w:pPr>
      <w:r>
        <w:rPr>
          <w:rFonts w:cs="Arial" w:ascii="Arial" w:hAnsi="Arial"/>
          <w:color w:val="000000" w:themeColor="text1"/>
          <w:sz w:val="20"/>
          <w:szCs w:val="20"/>
        </w:rPr>
        <w:t xml:space="preserve">§ 11 ust. 1 pkt. 13) otrzymuje brzmienie: </w:t>
      </w:r>
    </w:p>
    <w:p>
      <w:pPr>
        <w:pStyle w:val="Wordsection1"/>
        <w:spacing w:beforeAutospacing="0" w:before="0" w:afterAutospacing="0" w:after="0"/>
        <w:ind w:left="720" w:hanging="0"/>
        <w:rPr>
          <w:rFonts w:ascii="Arial" w:hAnsi="Arial" w:cs="Arial"/>
          <w:color w:val="000000" w:themeColor="text1"/>
          <w:sz w:val="20"/>
          <w:szCs w:val="20"/>
        </w:rPr>
      </w:pPr>
      <w:r>
        <w:rPr>
          <w:rFonts w:cs="Arial" w:ascii="Arial" w:hAnsi="Arial"/>
          <w:color w:val="000000" w:themeColor="text1"/>
          <w:sz w:val="20"/>
          <w:szCs w:val="20"/>
        </w:rPr>
        <w:t>„</w:t>
      </w:r>
      <w:r>
        <w:rPr>
          <w:rFonts w:cs="Arial" w:ascii="Arial" w:hAnsi="Arial"/>
          <w:color w:val="000000" w:themeColor="text1"/>
          <w:sz w:val="20"/>
          <w:szCs w:val="20"/>
        </w:rPr>
        <w:t>§ 11 ust. 1 pkt. 13) Opcja Dodatkowa D13 – koszty leczenia stomatologicznego w wyniku nieszczęśliwego wypadku – zwrot udokumentowanych kosztów do wysokości 1 000 zł, nie więcej niż 400 zł za jeden ząb, niezależnie od wybranego wariantu ubezpieczenia, pod warunkiem, iż koszty leczenia stomatologicznego:</w:t>
      </w:r>
    </w:p>
    <w:p>
      <w:pPr>
        <w:pStyle w:val="Wordsection1"/>
        <w:numPr>
          <w:ilvl w:val="0"/>
          <w:numId w:val="3"/>
        </w:numPr>
        <w:spacing w:beforeAutospacing="0" w:before="0" w:afterAutospacing="0" w:after="0"/>
        <w:rPr>
          <w:rFonts w:ascii="Arial" w:hAnsi="Arial" w:cs="Arial"/>
          <w:bCs/>
          <w:color w:val="000000" w:themeColor="text1"/>
          <w:sz w:val="20"/>
          <w:szCs w:val="20"/>
        </w:rPr>
      </w:pPr>
      <w:r>
        <w:rPr>
          <w:rFonts w:cs="Arial" w:ascii="Arial" w:hAnsi="Arial"/>
          <w:color w:val="000000" w:themeColor="text1"/>
          <w:sz w:val="20"/>
          <w:szCs w:val="20"/>
        </w:rPr>
        <w:t>powstały w następstwie nieszczęśliwego wypadku, który wydarzył się podczas trwania ochrony ubezpieczeniowej</w:t>
      </w:r>
    </w:p>
    <w:p>
      <w:pPr>
        <w:pStyle w:val="Wordsection1"/>
        <w:spacing w:beforeAutospacing="0" w:before="0" w:afterAutospacing="0" w:after="0"/>
        <w:ind w:left="1080" w:hanging="0"/>
        <w:rPr>
          <w:rFonts w:ascii="Arial" w:hAnsi="Arial" w:cs="Arial"/>
          <w:color w:val="000000" w:themeColor="text1"/>
          <w:sz w:val="20"/>
          <w:szCs w:val="20"/>
        </w:rPr>
      </w:pPr>
      <w:r>
        <w:rPr>
          <w:rFonts w:cs="Arial" w:ascii="Arial" w:hAnsi="Arial"/>
          <w:color w:val="000000" w:themeColor="text1"/>
          <w:sz w:val="20"/>
          <w:szCs w:val="20"/>
        </w:rPr>
        <w:t>oraz</w:t>
      </w:r>
    </w:p>
    <w:p>
      <w:pPr>
        <w:pStyle w:val="Wordsection1"/>
        <w:numPr>
          <w:ilvl w:val="0"/>
          <w:numId w:val="3"/>
        </w:numPr>
        <w:spacing w:beforeAutospacing="0" w:before="0" w:afterAutospacing="0" w:after="0"/>
        <w:rPr>
          <w:rFonts w:ascii="Arial" w:hAnsi="Arial" w:cs="Arial"/>
          <w:bCs/>
          <w:color w:val="000000" w:themeColor="text1"/>
          <w:sz w:val="20"/>
          <w:szCs w:val="20"/>
        </w:rPr>
      </w:pPr>
      <w:r>
        <w:rPr>
          <w:rFonts w:cs="Arial" w:ascii="Arial" w:hAnsi="Arial"/>
          <w:bCs/>
          <w:color w:val="000000" w:themeColor="text1"/>
          <w:sz w:val="20"/>
          <w:szCs w:val="20"/>
        </w:rPr>
        <w:t>zostały poniesione na odbudowę stomatologiczną uszkodzonego lub utraconego zęba stałego, z zastrzeżeniem, że w związku z utratą lub uszkodzeniem zęba w następstwie nieszczęśliwego wypadku u Ubezpieczonego został orzeczony uszczerbek na zdrowiu</w:t>
      </w:r>
    </w:p>
    <w:p>
      <w:pPr>
        <w:pStyle w:val="Wordsection1"/>
        <w:spacing w:beforeAutospacing="0" w:before="0" w:afterAutospacing="0" w:after="0"/>
        <w:ind w:left="1080" w:hanging="0"/>
        <w:rPr>
          <w:rFonts w:ascii="Arial" w:hAnsi="Arial" w:cs="Arial"/>
          <w:bCs/>
          <w:color w:val="000000" w:themeColor="text1"/>
          <w:sz w:val="20"/>
          <w:szCs w:val="20"/>
        </w:rPr>
      </w:pPr>
      <w:r>
        <w:rPr>
          <w:rFonts w:cs="Arial" w:ascii="Arial" w:hAnsi="Arial"/>
          <w:bCs/>
          <w:color w:val="000000" w:themeColor="text1"/>
          <w:sz w:val="20"/>
          <w:szCs w:val="20"/>
        </w:rPr>
        <w:t>oraz</w:t>
      </w:r>
    </w:p>
    <w:p>
      <w:pPr>
        <w:pStyle w:val="Wordsection1"/>
        <w:numPr>
          <w:ilvl w:val="0"/>
          <w:numId w:val="3"/>
        </w:numPr>
        <w:spacing w:beforeAutospacing="0" w:before="0" w:afterAutospacing="0" w:after="0"/>
        <w:rPr>
          <w:rFonts w:ascii="Arial" w:hAnsi="Arial" w:cs="Arial"/>
          <w:bCs/>
          <w:color w:val="000000" w:themeColor="text1"/>
          <w:sz w:val="20"/>
          <w:szCs w:val="20"/>
        </w:rPr>
      </w:pPr>
      <w:r>
        <w:rPr>
          <w:rFonts w:cs="Arial" w:ascii="Arial" w:hAnsi="Arial"/>
          <w:bCs/>
          <w:color w:val="000000" w:themeColor="text1"/>
          <w:sz w:val="20"/>
          <w:szCs w:val="20"/>
        </w:rPr>
        <w:t>zostały poniesione w okresie ubezpieczenia na terytorium Rzeczpospolitej Polskiej w okresie maksymalnie 6 miesięcy od daty nieszczęśliwego wypadku;”</w:t>
      </w:r>
    </w:p>
    <w:p>
      <w:pPr>
        <w:pStyle w:val="Wordsection1"/>
        <w:spacing w:beforeAutospacing="0" w:before="0" w:afterAutospacing="0" w:after="0"/>
        <w:rPr>
          <w:rFonts w:ascii="Arial" w:hAnsi="Arial" w:cs="Arial"/>
          <w:bCs/>
          <w:color w:val="000000" w:themeColor="text1"/>
          <w:sz w:val="20"/>
          <w:szCs w:val="20"/>
        </w:rPr>
      </w:pPr>
      <w:r>
        <w:rPr>
          <w:rFonts w:cs="Arial" w:ascii="Arial" w:hAnsi="Arial"/>
          <w:bCs/>
          <w:color w:val="000000" w:themeColor="text1"/>
          <w:sz w:val="20"/>
          <w:szCs w:val="20"/>
        </w:rPr>
      </w:r>
    </w:p>
    <w:p>
      <w:pPr>
        <w:pStyle w:val="Wordsection1"/>
        <w:numPr>
          <w:ilvl w:val="0"/>
          <w:numId w:val="1"/>
        </w:numPr>
        <w:spacing w:beforeAutospacing="0" w:before="0" w:afterAutospacing="0" w:after="0"/>
        <w:rPr>
          <w:rFonts w:ascii="Arial" w:hAnsi="Arial" w:cs="Arial"/>
          <w:bCs/>
          <w:color w:val="000000" w:themeColor="text1"/>
          <w:sz w:val="20"/>
          <w:szCs w:val="20"/>
        </w:rPr>
      </w:pPr>
      <w:r>
        <w:rPr>
          <w:rFonts w:cs="Arial" w:ascii="Arial" w:hAnsi="Arial"/>
          <w:color w:val="000000" w:themeColor="text1"/>
          <w:sz w:val="20"/>
          <w:szCs w:val="20"/>
        </w:rPr>
        <w:t xml:space="preserve">§ 11 ust. 1 pkt. 14) otrzymuje brzmienie: </w:t>
      </w:r>
    </w:p>
    <w:p>
      <w:pPr>
        <w:pStyle w:val="Wordsection1"/>
        <w:spacing w:beforeAutospacing="0" w:before="0" w:afterAutospacing="0" w:after="0"/>
        <w:ind w:left="720" w:hanging="0"/>
        <w:rPr>
          <w:rFonts w:ascii="Arial" w:hAnsi="Arial" w:cs="Arial"/>
          <w:color w:val="000000" w:themeColor="text1"/>
          <w:sz w:val="20"/>
          <w:szCs w:val="20"/>
        </w:rPr>
      </w:pPr>
      <w:r>
        <w:rPr>
          <w:rFonts w:cs="Arial" w:ascii="Arial" w:hAnsi="Arial"/>
          <w:bCs/>
          <w:color w:val="000000" w:themeColor="text1"/>
          <w:sz w:val="20"/>
          <w:szCs w:val="20"/>
        </w:rPr>
        <w:t>„</w:t>
      </w:r>
      <w:r>
        <w:rPr>
          <w:rFonts w:cs="Arial" w:ascii="Arial" w:hAnsi="Arial"/>
          <w:color w:val="000000" w:themeColor="text1"/>
          <w:sz w:val="20"/>
          <w:szCs w:val="20"/>
        </w:rPr>
        <w:t>§ 11 ust. 1 pkt. 14) Opcja Dodatkowa D14 – uciążliwe leczenie w wyniku nieszczęśliwego wypadku - wypłata świadczenia w wysokości 1 % sumy ubezpieczenia określonej w umowie ubezpieczenia dla Opcji Dodatkowej D14, pod warunkiem, iż:</w:t>
      </w:r>
    </w:p>
    <w:p>
      <w:pPr>
        <w:pStyle w:val="Wordsection1"/>
        <w:numPr>
          <w:ilvl w:val="0"/>
          <w:numId w:val="4"/>
        </w:numPr>
        <w:spacing w:beforeAutospacing="0" w:before="0" w:afterAutospacing="0" w:after="0"/>
        <w:rPr>
          <w:rFonts w:ascii="Arial" w:hAnsi="Arial" w:cs="Arial"/>
          <w:color w:val="000000" w:themeColor="text1"/>
          <w:sz w:val="20"/>
          <w:szCs w:val="20"/>
        </w:rPr>
      </w:pPr>
      <w:r>
        <w:rPr>
          <w:rFonts w:cs="Arial" w:ascii="Arial" w:hAnsi="Arial"/>
          <w:color w:val="000000" w:themeColor="text1"/>
          <w:sz w:val="20"/>
          <w:szCs w:val="20"/>
        </w:rPr>
        <w:t xml:space="preserve">nieszczęśliwy wypadek nie pozostawił uszczerbku na zdrowiu Ubezpieczonego ( 0% uszczerbku na zdrowiu), bądź trwałego inwalidztwa częściowego, złamania kości, ran ciętych lub szarpanych, urazów narządu ruchu, wstrząśnienia mózgu </w:t>
      </w:r>
    </w:p>
    <w:p>
      <w:pPr>
        <w:pStyle w:val="Wordsection1"/>
        <w:spacing w:beforeAutospacing="0" w:before="0" w:afterAutospacing="0" w:after="0"/>
        <w:ind w:left="1080" w:hanging="0"/>
        <w:rPr>
          <w:rFonts w:ascii="Arial" w:hAnsi="Arial" w:cs="Arial"/>
          <w:color w:val="000000" w:themeColor="text1"/>
          <w:sz w:val="20"/>
          <w:szCs w:val="20"/>
        </w:rPr>
      </w:pPr>
      <w:r>
        <w:rPr>
          <w:rFonts w:cs="Arial" w:ascii="Arial" w:hAnsi="Arial"/>
          <w:color w:val="000000" w:themeColor="text1"/>
          <w:sz w:val="20"/>
          <w:szCs w:val="20"/>
        </w:rPr>
        <w:t>oraz</w:t>
      </w:r>
    </w:p>
    <w:p>
      <w:pPr>
        <w:pStyle w:val="Wordsection1"/>
        <w:numPr>
          <w:ilvl w:val="0"/>
          <w:numId w:val="4"/>
        </w:numPr>
        <w:spacing w:beforeAutospacing="0" w:before="0" w:afterAutospacing="0" w:after="0"/>
        <w:rPr>
          <w:rFonts w:ascii="Arial" w:hAnsi="Arial" w:cs="Arial"/>
          <w:color w:val="000000" w:themeColor="text1"/>
          <w:sz w:val="20"/>
          <w:szCs w:val="20"/>
        </w:rPr>
      </w:pPr>
      <w:r>
        <w:rPr>
          <w:rFonts w:cs="Arial" w:ascii="Arial" w:hAnsi="Arial"/>
          <w:color w:val="000000" w:themeColor="text1"/>
          <w:sz w:val="20"/>
          <w:szCs w:val="20"/>
        </w:rPr>
        <w:t xml:space="preserve">przebieg leczenia spowodował czasową niezdolność do nauki lub pracy przez okres nie krótszy niż 5 dni. </w:t>
      </w:r>
    </w:p>
    <w:p>
      <w:pPr>
        <w:pStyle w:val="Wordsection1"/>
        <w:spacing w:beforeAutospacing="0" w:before="0" w:afterAutospacing="0" w:after="0"/>
        <w:ind w:left="720" w:hanging="0"/>
        <w:rPr>
          <w:rFonts w:ascii="Arial" w:hAnsi="Arial" w:cs="Arial"/>
          <w:bCs/>
          <w:color w:val="000000" w:themeColor="text1"/>
          <w:sz w:val="20"/>
          <w:szCs w:val="20"/>
        </w:rPr>
      </w:pPr>
      <w:r>
        <w:rPr>
          <w:rFonts w:cs="Arial" w:ascii="Arial" w:hAnsi="Arial"/>
          <w:bCs/>
          <w:color w:val="000000" w:themeColor="text1"/>
          <w:sz w:val="20"/>
          <w:szCs w:val="20"/>
        </w:rPr>
      </w:r>
    </w:p>
    <w:p>
      <w:pPr>
        <w:pStyle w:val="ListParagraph"/>
        <w:numPr>
          <w:ilvl w:val="0"/>
          <w:numId w:val="1"/>
        </w:numPr>
        <w:spacing w:lineRule="auto" w:line="240" w:before="60" w:after="60"/>
        <w:contextualSpacing/>
        <w:jc w:val="both"/>
        <w:rPr>
          <w:rFonts w:ascii="Arial" w:hAnsi="Arial" w:cs="Arial"/>
          <w:color w:val="000000" w:themeColor="text1"/>
          <w:sz w:val="20"/>
          <w:szCs w:val="20"/>
        </w:rPr>
      </w:pPr>
      <w:r>
        <w:rPr>
          <w:rFonts w:cs="Arial" w:ascii="Arial" w:hAnsi="Arial"/>
          <w:color w:val="000000" w:themeColor="text1"/>
          <w:sz w:val="20"/>
          <w:szCs w:val="20"/>
        </w:rPr>
        <w:t xml:space="preserve"> „</w:t>
      </w:r>
      <w:r>
        <w:rPr>
          <w:rFonts w:cs="Arial" w:ascii="Arial" w:hAnsi="Arial"/>
          <w:color w:val="000000" w:themeColor="text1"/>
          <w:sz w:val="20"/>
          <w:szCs w:val="20"/>
        </w:rPr>
        <w:t>§ 21 ust. 3 pkt. 8) otrzymuje brzmienie:</w:t>
      </w:r>
    </w:p>
    <w:p>
      <w:pPr>
        <w:pStyle w:val="ListParagraph"/>
        <w:spacing w:lineRule="auto" w:line="240" w:before="60" w:after="60"/>
        <w:contextualSpacing/>
        <w:jc w:val="both"/>
        <w:rPr>
          <w:rFonts w:ascii="Arial" w:hAnsi="Arial" w:cs="Arial"/>
          <w:color w:val="000000" w:themeColor="text1"/>
          <w:sz w:val="20"/>
          <w:szCs w:val="20"/>
        </w:rPr>
      </w:pPr>
      <w:r>
        <w:rPr>
          <w:rFonts w:cs="Arial" w:ascii="Arial" w:hAnsi="Arial"/>
          <w:color w:val="000000" w:themeColor="text1"/>
          <w:sz w:val="20"/>
          <w:szCs w:val="20"/>
        </w:rPr>
        <w:t>„</w:t>
      </w:r>
      <w:r>
        <w:rPr>
          <w:rFonts w:cs="Arial" w:ascii="Arial" w:hAnsi="Arial"/>
          <w:color w:val="000000" w:themeColor="text1"/>
          <w:sz w:val="20"/>
          <w:szCs w:val="20"/>
        </w:rPr>
        <w:t>8)  w przypadku pogryzienia przez psa, pokąsania, ukąszenia/użądlenia – dokumentację medyczną z leczenia;”</w:t>
      </w:r>
    </w:p>
    <w:p>
      <w:pPr>
        <w:pStyle w:val="ListParagraph"/>
        <w:spacing w:lineRule="auto" w:line="240" w:before="60" w:after="60"/>
        <w:contextualSpacing/>
        <w:jc w:val="both"/>
        <w:rPr>
          <w:rFonts w:ascii="Arial" w:hAnsi="Arial" w:cs="Arial"/>
          <w:color w:val="000000" w:themeColor="text1"/>
          <w:sz w:val="20"/>
          <w:szCs w:val="20"/>
        </w:rPr>
      </w:pPr>
      <w:r>
        <w:rPr>
          <w:rFonts w:cs="Arial" w:ascii="Arial" w:hAnsi="Arial"/>
          <w:color w:val="000000" w:themeColor="text1"/>
          <w:sz w:val="20"/>
          <w:szCs w:val="20"/>
        </w:rPr>
      </w:r>
    </w:p>
    <w:p>
      <w:pPr>
        <w:pStyle w:val="ListParagraph"/>
        <w:numPr>
          <w:ilvl w:val="0"/>
          <w:numId w:val="1"/>
        </w:numPr>
        <w:spacing w:lineRule="auto" w:line="240" w:before="60" w:after="60"/>
        <w:contextualSpacing/>
        <w:jc w:val="both"/>
        <w:rPr>
          <w:rFonts w:ascii="Arial" w:hAnsi="Arial" w:cs="Arial"/>
          <w:color w:val="000000" w:themeColor="text1"/>
          <w:sz w:val="20"/>
          <w:szCs w:val="20"/>
        </w:rPr>
      </w:pPr>
      <w:r>
        <w:rPr>
          <w:rFonts w:cs="Arial" w:ascii="Arial" w:hAnsi="Arial"/>
          <w:color w:val="000000" w:themeColor="text1"/>
          <w:sz w:val="20"/>
          <w:szCs w:val="20"/>
        </w:rPr>
        <w:t>W § 13 ust. 8 dodaje się pkt. 3), który otrzymuje brzmienie:</w:t>
      </w:r>
    </w:p>
    <w:p>
      <w:pPr>
        <w:pStyle w:val="Normal"/>
        <w:spacing w:lineRule="auto" w:line="240" w:before="60" w:after="60"/>
        <w:ind w:left="720" w:hanging="0"/>
        <w:jc w:val="both"/>
        <w:rPr/>
      </w:pPr>
      <w:r>
        <w:rPr>
          <w:rFonts w:cs="Arial" w:ascii="Arial" w:hAnsi="Arial"/>
          <w:color w:val="000000" w:themeColor="text1"/>
          <w:sz w:val="20"/>
          <w:szCs w:val="20"/>
        </w:rPr>
        <w:t>„</w:t>
      </w:r>
      <w:r>
        <w:rPr>
          <w:rFonts w:cs="Arial" w:ascii="Arial" w:hAnsi="Arial"/>
          <w:color w:val="000000" w:themeColor="text1"/>
          <w:sz w:val="20"/>
          <w:szCs w:val="20"/>
        </w:rPr>
        <w:t>3) Opcji Podstawowej, gdzie górną granicą odpowiedzialności InterRisk jest kwota stanowiąca 140% sumy ubezpieczenia określonej w umowie ubezpieczenia dla Opcji Podstawowej;”</w:t>
      </w:r>
      <w:bookmarkEnd w:id="0"/>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swiss"/>
    <w:pitch w:val="variable"/>
  </w:font>
  <w:font w:name="Times New Roman">
    <w:charset w:val="ee"/>
    <w:family w:val="roman"/>
    <w:pitch w:val="variable"/>
  </w:font>
  <w:font w:name="MyriadPro-Regular">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b/>
        <w:rFonts w:ascii="Arial" w:hAnsi="Arial" w:cs="Times New Roman"/>
        <w:color w:val="00000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lvl w:ilvl="0">
      <w:start w:val="1"/>
      <w:numFmt w:val="lowerLetter"/>
      <w:lvlText w:val="%1)"/>
      <w:lvlJc w:val="left"/>
      <w:pPr>
        <w:ind w:left="1080" w:hanging="360"/>
      </w:pPr>
      <w:rPr>
        <w:sz w:val="20"/>
        <w:b/>
        <w:rFonts w:ascii="Arial" w:hAnsi="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lowerLetter"/>
      <w:lvlText w:val="%1)"/>
      <w:lvlJc w:val="left"/>
      <w:pPr>
        <w:ind w:left="1080" w:hanging="360"/>
      </w:pPr>
      <w:rPr>
        <w:sz w:val="20"/>
        <w:b/>
        <w:rFonts w:ascii="Arial" w:hAnsi="Arial"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basedOn w:val="DefaultParagraphFont"/>
    <w:link w:val="Tekstprzypisukocowego"/>
    <w:uiPriority w:val="99"/>
    <w:semiHidden/>
    <w:qFormat/>
    <w:rsid w:val="00e201a6"/>
    <w:rPr>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e201a6"/>
    <w:rPr>
      <w:vertAlign w:val="superscript"/>
    </w:rPr>
  </w:style>
  <w:style w:type="character" w:styleId="Wyrnienie">
    <w:name w:val="Wyróżnienie"/>
    <w:uiPriority w:val="20"/>
    <w:qFormat/>
    <w:rsid w:val="00756dd5"/>
    <w:rPr>
      <w:b/>
      <w:i/>
      <w:spacing w:val="10"/>
    </w:rPr>
  </w:style>
  <w:style w:type="character" w:styleId="ListLabel1">
    <w:name w:val="ListLabel 1"/>
    <w:qFormat/>
    <w:rPr>
      <w:rFonts w:ascii="Arial" w:hAnsi="Arial" w:cs="Times New Roman"/>
      <w:b/>
      <w:color w:val="000000"/>
      <w:sz w:val="20"/>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b/>
      <w:color w:val="000000"/>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b/>
      <w:color w:val="000000"/>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b w:val="false"/>
    </w:rPr>
  </w:style>
  <w:style w:type="character" w:styleId="ListLabel29">
    <w:name w:val="ListLabel 29"/>
    <w:qFormat/>
    <w:rPr>
      <w:rFonts w:cs="Times New Roman"/>
      <w:b/>
      <w:color w:val="000000"/>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b/>
      <w:color w:val="000000"/>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ascii="Arial" w:hAnsi="Arial"/>
      <w:b/>
      <w:sz w:val="20"/>
    </w:rPr>
  </w:style>
  <w:style w:type="character" w:styleId="ListLabel48">
    <w:name w:val="ListLabel 48"/>
    <w:qFormat/>
    <w:rPr>
      <w:rFonts w:ascii="Arial" w:hAnsi="Arial" w:cs="Calibri"/>
      <w:b/>
      <w:sz w:val="20"/>
    </w:rPr>
  </w:style>
  <w:style w:type="character" w:styleId="ListLabel49">
    <w:name w:val="ListLabel 49"/>
    <w:qFormat/>
    <w:rPr>
      <w:rFonts w:cs="Times New Roman"/>
      <w:b/>
      <w:color w:val="000000"/>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Wordsection1" w:customStyle="1">
    <w:name w:val="wordsection1"/>
    <w:basedOn w:val="Normal"/>
    <w:uiPriority w:val="99"/>
    <w:qFormat/>
    <w:rsid w:val="00fd439f"/>
    <w:pPr>
      <w:spacing w:lineRule="auto" w:line="240" w:beforeAutospacing="1" w:afterAutospacing="1"/>
    </w:pPr>
    <w:rPr>
      <w:rFonts w:ascii="Times New Roman" w:hAnsi="Times New Roman" w:cs="Times New Roman"/>
      <w:sz w:val="24"/>
      <w:szCs w:val="24"/>
      <w:lang w:eastAsia="pl-PL"/>
    </w:rPr>
  </w:style>
  <w:style w:type="paragraph" w:styleId="Przypiskocowy">
    <w:name w:val="Endnote Text"/>
    <w:basedOn w:val="Normal"/>
    <w:link w:val="TekstprzypisukocowegoZnak"/>
    <w:uiPriority w:val="99"/>
    <w:semiHidden/>
    <w:unhideWhenUsed/>
    <w:rsid w:val="00e201a6"/>
    <w:pPr>
      <w:spacing w:lineRule="auto" w:line="240" w:before="0" w:after="0"/>
    </w:pPr>
    <w:rPr>
      <w:sz w:val="20"/>
      <w:szCs w:val="20"/>
    </w:rPr>
  </w:style>
  <w:style w:type="paragraph" w:styleId="ListParagraph">
    <w:name w:val="List Paragraph"/>
    <w:basedOn w:val="Normal"/>
    <w:uiPriority w:val="34"/>
    <w:qFormat/>
    <w:rsid w:val="00903828"/>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LibreOffice/6.1.4.2$Windows_X86_64 LibreOffice_project/9d0f32d1f0b509096fd65e0d4bec26ddd1938fd3</Application>
  <Pages>7</Pages>
  <Words>1820</Words>
  <Characters>10772</Characters>
  <CharactersWithSpaces>12464</CharactersWithSpaces>
  <Paragraphs>198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2020-04-15T20:00:00Z</dcterms:created>
  <dc:creator>Edyta Nowicka</dc:creator>
  <dc:description/>
  <dc:language>pl-PL</dc:language>
  <cp:lastModifiedBy>Edyta Nowicka</cp:lastModifiedBy>
  <dcterms:modified xsi:type="dcterms:W3CDTF">2020-04-15T20:00:00Z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